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C" w:rsidRPr="002C75B3" w:rsidRDefault="007A3018" w:rsidP="00BE0B65">
      <w:pPr>
        <w:spacing w:before="240" w:line="520" w:lineRule="exact"/>
        <w:jc w:val="left"/>
        <w:rPr>
          <w:rFonts w:eastAsia="仿宋_GB2312"/>
          <w:color w:val="000000" w:themeColor="text1"/>
          <w:sz w:val="32"/>
          <w:szCs w:val="44"/>
        </w:rPr>
      </w:pPr>
      <w:r w:rsidRPr="002C75B3">
        <w:rPr>
          <w:rFonts w:eastAsia="仿宋_GB2312" w:hint="eastAsia"/>
          <w:color w:val="000000" w:themeColor="text1"/>
          <w:sz w:val="32"/>
          <w:szCs w:val="44"/>
        </w:rPr>
        <w:t>附件</w:t>
      </w:r>
      <w:r w:rsidR="007D19A7" w:rsidRPr="002C75B3">
        <w:rPr>
          <w:rFonts w:eastAsia="仿宋_GB2312" w:hint="eastAsia"/>
          <w:color w:val="000000" w:themeColor="text1"/>
          <w:sz w:val="32"/>
          <w:szCs w:val="44"/>
        </w:rPr>
        <w:t>2</w:t>
      </w:r>
    </w:p>
    <w:p w:rsidR="009E2EFC" w:rsidRPr="002C75B3" w:rsidRDefault="009E2EFC" w:rsidP="008371F2">
      <w:pPr>
        <w:spacing w:line="640" w:lineRule="exact"/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 w:rsidR="006821C4" w:rsidRPr="002C75B3" w:rsidRDefault="00BC73A2" w:rsidP="008371F2"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C75B3">
        <w:rPr>
          <w:rFonts w:eastAsia="仿宋_GB2312" w:hint="eastAsia"/>
          <w:color w:val="000000" w:themeColor="text1"/>
          <w:sz w:val="44"/>
          <w:szCs w:val="44"/>
        </w:rPr>
        <w:t>2020</w:t>
      </w:r>
      <w:r w:rsidR="00732CB5" w:rsidRPr="002C75B3">
        <w:rPr>
          <w:rFonts w:ascii="方正小标宋简体" w:eastAsia="方正小标宋简体" w:hint="eastAsia"/>
          <w:color w:val="000000" w:themeColor="text1"/>
          <w:sz w:val="44"/>
          <w:szCs w:val="44"/>
        </w:rPr>
        <w:t>年度</w:t>
      </w:r>
      <w:r w:rsidR="00F153FB" w:rsidRPr="002C75B3">
        <w:rPr>
          <w:rFonts w:ascii="方正小标宋简体" w:eastAsia="方正小标宋简体" w:hint="eastAsia"/>
          <w:color w:val="000000" w:themeColor="text1"/>
          <w:sz w:val="44"/>
          <w:szCs w:val="44"/>
        </w:rPr>
        <w:t>浙江省建设工程钱江杯奖</w:t>
      </w:r>
    </w:p>
    <w:p w:rsidR="00F153FB" w:rsidRPr="002C75B3" w:rsidRDefault="00F153FB" w:rsidP="008371F2"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2C75B3">
        <w:rPr>
          <w:rFonts w:ascii="方正小标宋简体" w:eastAsia="方正小标宋简体" w:hint="eastAsia"/>
          <w:color w:val="000000" w:themeColor="text1"/>
          <w:sz w:val="44"/>
          <w:szCs w:val="44"/>
        </w:rPr>
        <w:t>（优质工程）</w:t>
      </w:r>
      <w:r w:rsidR="00CB2254" w:rsidRPr="002C75B3">
        <w:rPr>
          <w:rFonts w:ascii="方正小标宋简体" w:eastAsia="方正小标宋简体" w:hint="eastAsia"/>
          <w:color w:val="000000" w:themeColor="text1"/>
          <w:sz w:val="44"/>
          <w:szCs w:val="44"/>
        </w:rPr>
        <w:t>考核</w:t>
      </w:r>
      <w:r w:rsidRPr="002C75B3">
        <w:rPr>
          <w:rFonts w:ascii="方正小标宋简体" w:eastAsia="方正小标宋简体" w:hint="eastAsia"/>
          <w:color w:val="000000" w:themeColor="text1"/>
          <w:sz w:val="44"/>
          <w:szCs w:val="44"/>
        </w:rPr>
        <w:t>认定细则</w:t>
      </w:r>
    </w:p>
    <w:p w:rsidR="00F153FB" w:rsidRPr="002C75B3" w:rsidRDefault="00F153FB" w:rsidP="00F153FB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F153FB" w:rsidRPr="002C75B3" w:rsidRDefault="00F153FB" w:rsidP="007953DF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一、申报钱江杯奖（优质工程）工程</w:t>
      </w:r>
      <w:r w:rsidR="00224FEE" w:rsidRPr="002C75B3">
        <w:rPr>
          <w:rFonts w:eastAsia="仿宋_GB2312" w:hint="eastAsia"/>
          <w:color w:val="000000" w:themeColor="text1"/>
          <w:sz w:val="32"/>
          <w:szCs w:val="32"/>
        </w:rPr>
        <w:t>（以下简称钱江杯）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项目必须符合基本建设程序</w:t>
      </w:r>
      <w:r w:rsidR="000A1F82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19227B" w:rsidRPr="002C75B3">
        <w:rPr>
          <w:rFonts w:eastAsia="仿宋_GB2312" w:hint="eastAsia"/>
          <w:color w:val="000000" w:themeColor="text1"/>
          <w:sz w:val="32"/>
          <w:szCs w:val="32"/>
        </w:rPr>
        <w:t>各项</w:t>
      </w:r>
      <w:r w:rsidR="004A759C" w:rsidRPr="002C75B3">
        <w:rPr>
          <w:rFonts w:eastAsia="仿宋_GB2312" w:hint="eastAsia"/>
          <w:color w:val="000000" w:themeColor="text1"/>
          <w:sz w:val="32"/>
          <w:szCs w:val="32"/>
        </w:rPr>
        <w:t>审批</w:t>
      </w:r>
      <w:r w:rsidR="0019227B" w:rsidRPr="002C75B3">
        <w:rPr>
          <w:rFonts w:eastAsia="仿宋_GB2312" w:hint="eastAsia"/>
          <w:color w:val="000000" w:themeColor="text1"/>
          <w:sz w:val="32"/>
          <w:szCs w:val="32"/>
        </w:rPr>
        <w:t>手续齐全，</w:t>
      </w:r>
      <w:proofErr w:type="gramStart"/>
      <w:r w:rsidR="0019227B" w:rsidRPr="002C75B3">
        <w:rPr>
          <w:rFonts w:eastAsia="仿宋_GB2312" w:hint="eastAsia"/>
          <w:color w:val="000000" w:themeColor="text1"/>
          <w:sz w:val="32"/>
          <w:szCs w:val="32"/>
        </w:rPr>
        <w:t>且建成</w:t>
      </w:r>
      <w:proofErr w:type="gramEnd"/>
      <w:r w:rsidR="0019227B" w:rsidRPr="002C75B3">
        <w:rPr>
          <w:rFonts w:eastAsia="仿宋_GB2312" w:hint="eastAsia"/>
          <w:color w:val="000000" w:themeColor="text1"/>
          <w:sz w:val="32"/>
          <w:szCs w:val="32"/>
        </w:rPr>
        <w:t>后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具有独立使用功能</w:t>
      </w:r>
      <w:r w:rsidR="000A1F82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19227B" w:rsidRPr="002C75B3">
        <w:rPr>
          <w:rFonts w:eastAsia="仿宋_GB2312" w:hint="eastAsia"/>
          <w:color w:val="000000" w:themeColor="text1"/>
          <w:sz w:val="32"/>
          <w:szCs w:val="32"/>
        </w:rPr>
        <w:t>包括</w:t>
      </w:r>
      <w:r w:rsidR="0019227B" w:rsidRPr="002C75B3">
        <w:rPr>
          <w:rFonts w:eastAsia="仿宋_GB2312"/>
          <w:color w:val="000000" w:themeColor="text1"/>
          <w:sz w:val="32"/>
          <w:szCs w:val="32"/>
        </w:rPr>
        <w:t>房屋建筑、市政、交通、水利、能源、园林</w:t>
      </w:r>
      <w:r w:rsidR="00EC4B77" w:rsidRPr="002C75B3">
        <w:rPr>
          <w:rFonts w:eastAsia="仿宋_GB2312"/>
          <w:color w:val="000000" w:themeColor="text1"/>
          <w:sz w:val="32"/>
          <w:szCs w:val="32"/>
        </w:rPr>
        <w:t>、农村住房</w:t>
      </w:r>
      <w:r w:rsidR="0019227B" w:rsidRPr="002C75B3">
        <w:rPr>
          <w:rFonts w:eastAsia="仿宋_GB2312"/>
          <w:color w:val="000000" w:themeColor="text1"/>
          <w:sz w:val="32"/>
          <w:szCs w:val="32"/>
        </w:rPr>
        <w:t>等</w:t>
      </w:r>
      <w:r w:rsidR="00C808A1" w:rsidRPr="002C75B3">
        <w:rPr>
          <w:rFonts w:eastAsia="仿宋_GB2312"/>
          <w:color w:val="000000" w:themeColor="text1"/>
          <w:sz w:val="32"/>
          <w:szCs w:val="32"/>
        </w:rPr>
        <w:t>建设工程项目。</w:t>
      </w:r>
    </w:p>
    <w:p w:rsidR="00D42D06" w:rsidRPr="002C75B3" w:rsidRDefault="00F153FB" w:rsidP="007953DF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二、申报钱江杯的项目必须符合以下条件：</w:t>
      </w:r>
    </w:p>
    <w:p w:rsidR="00F153FB" w:rsidRPr="002C75B3" w:rsidRDefault="00C8406D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1.</w:t>
      </w:r>
      <w:r w:rsidR="00F11BC1" w:rsidRPr="002C75B3">
        <w:rPr>
          <w:rFonts w:eastAsia="仿宋_GB2312" w:hint="eastAsia"/>
          <w:color w:val="000000" w:themeColor="text1"/>
          <w:sz w:val="32"/>
          <w:szCs w:val="32"/>
        </w:rPr>
        <w:t>创优目标</w:t>
      </w:r>
      <w:r w:rsidR="004B5172" w:rsidRPr="002C75B3">
        <w:rPr>
          <w:rFonts w:eastAsia="仿宋_GB2312" w:hint="eastAsia"/>
          <w:color w:val="000000" w:themeColor="text1"/>
          <w:sz w:val="32"/>
          <w:szCs w:val="32"/>
        </w:rPr>
        <w:t>明确，</w:t>
      </w:r>
      <w:r w:rsidR="00F11BC1" w:rsidRPr="002C75B3">
        <w:rPr>
          <w:rFonts w:eastAsia="仿宋_GB2312" w:hint="eastAsia"/>
          <w:color w:val="000000" w:themeColor="text1"/>
          <w:sz w:val="32"/>
          <w:szCs w:val="32"/>
        </w:rPr>
        <w:t>质量管理体系健全</w:t>
      </w:r>
      <w:r w:rsidR="00BE2E54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697D1F" w:rsidRPr="002C75B3" w:rsidRDefault="00C33F43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2.</w:t>
      </w:r>
      <w:r w:rsidR="007A0B2B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r w:rsidR="005E6111" w:rsidRPr="002C75B3">
        <w:rPr>
          <w:rFonts w:eastAsia="仿宋_GB2312" w:hint="eastAsia"/>
          <w:color w:val="000000" w:themeColor="text1"/>
          <w:sz w:val="32"/>
          <w:szCs w:val="32"/>
        </w:rPr>
        <w:t>设计水平、科技含量、</w:t>
      </w:r>
      <w:r w:rsidR="00B335DD" w:rsidRPr="002C75B3">
        <w:rPr>
          <w:rFonts w:eastAsia="仿宋_GB2312" w:hint="eastAsia"/>
          <w:color w:val="000000" w:themeColor="text1"/>
          <w:sz w:val="32"/>
          <w:szCs w:val="32"/>
        </w:rPr>
        <w:t>节能环保</w:t>
      </w:r>
      <w:r w:rsidR="005E6111" w:rsidRPr="002C75B3">
        <w:rPr>
          <w:rFonts w:eastAsia="仿宋_GB2312" w:hint="eastAsia"/>
          <w:color w:val="000000" w:themeColor="text1"/>
          <w:sz w:val="32"/>
          <w:szCs w:val="32"/>
        </w:rPr>
        <w:t>、施工质量</w:t>
      </w:r>
      <w:r w:rsidR="008B6315" w:rsidRPr="002C75B3">
        <w:rPr>
          <w:rFonts w:eastAsia="仿宋_GB2312" w:hint="eastAsia"/>
          <w:color w:val="000000" w:themeColor="text1"/>
          <w:sz w:val="32"/>
          <w:szCs w:val="32"/>
        </w:rPr>
        <w:t>和</w:t>
      </w:r>
      <w:r w:rsidR="005E6111" w:rsidRPr="002C75B3">
        <w:rPr>
          <w:rFonts w:eastAsia="仿宋_GB2312" w:hint="eastAsia"/>
          <w:color w:val="000000" w:themeColor="text1"/>
          <w:sz w:val="32"/>
          <w:szCs w:val="32"/>
        </w:rPr>
        <w:t>综合效益达到同期省内领先水平</w:t>
      </w:r>
      <w:r w:rsidR="007A0B2B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697D1F" w:rsidRPr="002C75B3">
        <w:rPr>
          <w:rFonts w:eastAsia="仿宋_GB2312" w:hint="eastAsia"/>
          <w:color w:val="000000" w:themeColor="text1"/>
          <w:sz w:val="32"/>
          <w:szCs w:val="32"/>
        </w:rPr>
        <w:t>并已获得本地区或本行业最高质量奖；</w:t>
      </w:r>
    </w:p>
    <w:p w:rsidR="008C740F" w:rsidRPr="002C75B3" w:rsidRDefault="005F7A90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3.</w:t>
      </w:r>
      <w:r w:rsidR="007A0B2B" w:rsidRPr="002C75B3">
        <w:rPr>
          <w:rFonts w:eastAsia="仿宋_GB2312" w:hint="eastAsia"/>
          <w:color w:val="000000" w:themeColor="text1"/>
          <w:sz w:val="32"/>
          <w:szCs w:val="32"/>
        </w:rPr>
        <w:t>工程设计、施工符合国家、</w:t>
      </w:r>
      <w:r w:rsidR="007A0B2B" w:rsidRPr="002C75B3">
        <w:rPr>
          <w:rFonts w:eastAsia="仿宋_GB2312"/>
          <w:color w:val="000000" w:themeColor="text1"/>
          <w:sz w:val="32"/>
          <w:szCs w:val="32"/>
        </w:rPr>
        <w:t>行业</w:t>
      </w:r>
      <w:r w:rsidR="007A0B2B" w:rsidRPr="002C75B3">
        <w:rPr>
          <w:rFonts w:eastAsia="仿宋_GB2312" w:hint="eastAsia"/>
          <w:color w:val="000000" w:themeColor="text1"/>
          <w:sz w:val="32"/>
          <w:szCs w:val="32"/>
        </w:rPr>
        <w:t>、</w:t>
      </w:r>
      <w:r w:rsidR="007A0B2B" w:rsidRPr="002C75B3">
        <w:rPr>
          <w:rFonts w:eastAsia="仿宋_GB2312"/>
          <w:color w:val="000000" w:themeColor="text1"/>
          <w:sz w:val="32"/>
          <w:szCs w:val="32"/>
        </w:rPr>
        <w:t>地方</w:t>
      </w:r>
      <w:r w:rsidR="00256653" w:rsidRPr="002C75B3">
        <w:rPr>
          <w:rFonts w:eastAsia="仿宋_GB2312" w:hint="eastAsia"/>
          <w:color w:val="000000" w:themeColor="text1"/>
          <w:sz w:val="32"/>
          <w:szCs w:val="32"/>
        </w:rPr>
        <w:t>的</w:t>
      </w:r>
      <w:r w:rsidR="007A0B2B" w:rsidRPr="002C75B3">
        <w:rPr>
          <w:rFonts w:eastAsia="仿宋_GB2312" w:hint="eastAsia"/>
          <w:color w:val="000000" w:themeColor="text1"/>
          <w:sz w:val="32"/>
          <w:szCs w:val="32"/>
        </w:rPr>
        <w:t>技术标准、规范，</w:t>
      </w:r>
      <w:r w:rsidR="00FE3AD4" w:rsidRPr="002C75B3">
        <w:rPr>
          <w:rFonts w:eastAsia="仿宋_GB2312" w:hint="eastAsia"/>
          <w:color w:val="000000" w:themeColor="text1"/>
          <w:sz w:val="32"/>
          <w:szCs w:val="32"/>
        </w:rPr>
        <w:t>无违反国家工程建设强制性标准，</w:t>
      </w:r>
      <w:r w:rsidR="00FA4250" w:rsidRPr="002C75B3">
        <w:rPr>
          <w:rFonts w:eastAsia="仿宋_GB2312" w:hint="eastAsia"/>
          <w:color w:val="000000" w:themeColor="text1"/>
          <w:sz w:val="32"/>
          <w:szCs w:val="32"/>
        </w:rPr>
        <w:t>工程施工工艺和技术措施先进合理，</w:t>
      </w:r>
      <w:r w:rsidR="00256653" w:rsidRPr="002C75B3">
        <w:rPr>
          <w:rFonts w:ascii="仿宋_GB2312" w:eastAsia="仿宋_GB2312" w:hint="eastAsia"/>
          <w:color w:val="000000" w:themeColor="text1"/>
          <w:sz w:val="32"/>
          <w:szCs w:val="32"/>
        </w:rPr>
        <w:t>工程</w:t>
      </w:r>
      <w:r w:rsidR="00CC4883" w:rsidRPr="002C75B3">
        <w:rPr>
          <w:rFonts w:ascii="仿宋_GB2312" w:eastAsia="仿宋_GB2312" w:hint="eastAsia"/>
          <w:color w:val="000000" w:themeColor="text1"/>
          <w:sz w:val="32"/>
          <w:szCs w:val="32"/>
        </w:rPr>
        <w:t>质量应</w:t>
      </w:r>
      <w:r w:rsidR="00256653" w:rsidRPr="002C75B3">
        <w:rPr>
          <w:rFonts w:ascii="仿宋_GB2312" w:eastAsia="仿宋_GB2312" w:hint="eastAsia"/>
          <w:color w:val="000000" w:themeColor="text1"/>
          <w:sz w:val="32"/>
          <w:szCs w:val="32"/>
        </w:rPr>
        <w:t>有特色、</w:t>
      </w:r>
      <w:r w:rsidR="00CC4883" w:rsidRPr="002C75B3">
        <w:rPr>
          <w:rFonts w:ascii="仿宋_GB2312" w:eastAsia="仿宋_GB2312" w:hint="eastAsia"/>
          <w:color w:val="000000" w:themeColor="text1"/>
          <w:sz w:val="32"/>
          <w:szCs w:val="32"/>
        </w:rPr>
        <w:t>有亮点</w:t>
      </w:r>
      <w:r w:rsidR="00A556E3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F153FB" w:rsidRPr="002C75B3" w:rsidRDefault="002C30A5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4</w:t>
      </w:r>
      <w:r w:rsidR="0043747A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/>
          <w:color w:val="000000" w:themeColor="text1"/>
          <w:sz w:val="32"/>
          <w:szCs w:val="32"/>
        </w:rPr>
        <w:t>工程技术档案资料</w:t>
      </w:r>
      <w:r w:rsidR="00C52467"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proofErr w:type="gramStart"/>
      <w:r w:rsidR="00C52467" w:rsidRPr="002C75B3">
        <w:rPr>
          <w:rFonts w:eastAsia="仿宋_GB2312" w:hint="eastAsia"/>
          <w:color w:val="000000" w:themeColor="text1"/>
          <w:sz w:val="32"/>
          <w:szCs w:val="32"/>
        </w:rPr>
        <w:t>含</w:t>
      </w:r>
      <w:r w:rsidR="00847073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proofErr w:type="gramEnd"/>
      <w:r w:rsidR="00847073" w:rsidRPr="002C75B3">
        <w:rPr>
          <w:rFonts w:eastAsia="仿宋_GB2312" w:hint="eastAsia"/>
          <w:color w:val="000000" w:themeColor="text1"/>
          <w:sz w:val="32"/>
          <w:szCs w:val="32"/>
        </w:rPr>
        <w:t>影像资料</w:t>
      </w:r>
      <w:r w:rsidR="00C52467"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9E01FC" w:rsidRPr="002C75B3">
        <w:rPr>
          <w:rFonts w:eastAsia="仿宋_GB2312" w:hint="eastAsia"/>
          <w:color w:val="000000" w:themeColor="text1"/>
          <w:sz w:val="32"/>
          <w:szCs w:val="32"/>
        </w:rPr>
        <w:t>真实</w:t>
      </w:r>
      <w:r w:rsidR="00F153FB" w:rsidRPr="002C75B3">
        <w:rPr>
          <w:rFonts w:eastAsia="仿宋_GB2312"/>
          <w:color w:val="000000" w:themeColor="text1"/>
          <w:sz w:val="32"/>
          <w:szCs w:val="32"/>
        </w:rPr>
        <w:t>、完整；</w:t>
      </w:r>
    </w:p>
    <w:p w:rsidR="00F153FB" w:rsidRPr="002C75B3" w:rsidRDefault="002C30A5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5</w:t>
      </w:r>
      <w:r w:rsidR="002E3BF1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C52467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安全生产、文明施工和扬尘控制具有省内同类工程</w:t>
      </w:r>
      <w:r w:rsidR="00F153FB" w:rsidRPr="00757B54">
        <w:rPr>
          <w:rFonts w:eastAsia="仿宋_GB2312" w:hint="eastAsia"/>
          <w:color w:val="000000" w:themeColor="text1"/>
          <w:sz w:val="32"/>
          <w:szCs w:val="32"/>
        </w:rPr>
        <w:t>先进水平</w:t>
      </w:r>
      <w:r w:rsidR="003952A1" w:rsidRPr="00757B54">
        <w:rPr>
          <w:rFonts w:eastAsia="仿宋_GB2312" w:hint="eastAsia"/>
          <w:color w:val="000000" w:themeColor="text1"/>
          <w:sz w:val="32"/>
          <w:szCs w:val="32"/>
        </w:rPr>
        <w:t>，</w:t>
      </w:r>
      <w:r w:rsidR="0089403D" w:rsidRPr="00757B54">
        <w:rPr>
          <w:rFonts w:eastAsia="仿宋_GB2312" w:hint="eastAsia"/>
          <w:color w:val="000000" w:themeColor="text1"/>
          <w:sz w:val="32"/>
          <w:szCs w:val="32"/>
        </w:rPr>
        <w:t>获得浙江省建筑安全文明施工标准化工地称号</w:t>
      </w:r>
      <w:r w:rsidR="002C7478"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="00F12F4A" w:rsidRPr="00255C8D">
        <w:rPr>
          <w:rFonts w:eastAsia="仿宋_GB2312" w:hint="eastAsia"/>
          <w:color w:val="000000" w:themeColor="text1"/>
          <w:sz w:val="32"/>
          <w:szCs w:val="32"/>
        </w:rPr>
        <w:t>农房工程除外</w:t>
      </w:r>
      <w:r w:rsidR="002C7478">
        <w:rPr>
          <w:rFonts w:eastAsia="仿宋_GB2312" w:hint="eastAsia"/>
          <w:color w:val="000000" w:themeColor="text1"/>
          <w:sz w:val="32"/>
          <w:szCs w:val="32"/>
        </w:rPr>
        <w:t>）</w:t>
      </w:r>
      <w:r w:rsidR="008371F2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F153FB" w:rsidRPr="002C75B3" w:rsidRDefault="00997D6F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6</w:t>
      </w:r>
      <w:r w:rsidR="00A5336A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7751C" w:rsidRPr="002C75B3">
        <w:rPr>
          <w:rFonts w:eastAsia="仿宋_GB2312" w:hint="eastAsia"/>
          <w:color w:val="000000" w:themeColor="text1"/>
          <w:sz w:val="32"/>
          <w:szCs w:val="32"/>
        </w:rPr>
        <w:t>在施工中未发生质量安全事故，</w:t>
      </w:r>
      <w:r w:rsidR="002D0604" w:rsidRPr="002C75B3">
        <w:rPr>
          <w:rFonts w:eastAsia="仿宋_GB2312" w:hint="eastAsia"/>
          <w:color w:val="000000" w:themeColor="text1"/>
          <w:sz w:val="32"/>
          <w:szCs w:val="32"/>
        </w:rPr>
        <w:t>未发生恶意拖欠农民工工资造成较大社会影响的案件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BD0CBE" w:rsidRPr="002C75B3" w:rsidRDefault="00962D4B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7</w:t>
      </w:r>
      <w:r w:rsidR="00A5336A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工程已在</w:t>
      </w:r>
      <w:r w:rsidR="00EF3121" w:rsidRPr="002C75B3">
        <w:rPr>
          <w:rFonts w:eastAsia="仿宋_GB2312" w:hint="eastAsia"/>
          <w:color w:val="000000" w:themeColor="text1"/>
          <w:sz w:val="32"/>
          <w:szCs w:val="32"/>
        </w:rPr>
        <w:t>2019</w:t>
      </w:r>
      <w:r w:rsidR="00CC0A1D" w:rsidRPr="002C75B3">
        <w:rPr>
          <w:rFonts w:eastAsia="仿宋_GB2312" w:hint="eastAsia"/>
          <w:color w:val="000000" w:themeColor="text1"/>
          <w:sz w:val="32"/>
          <w:szCs w:val="32"/>
        </w:rPr>
        <w:t>年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6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月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30</w:t>
      </w:r>
      <w:r w:rsidR="00F67E6D" w:rsidRPr="002C75B3">
        <w:rPr>
          <w:rFonts w:eastAsia="仿宋_GB2312" w:hint="eastAsia"/>
          <w:color w:val="000000" w:themeColor="text1"/>
          <w:sz w:val="32"/>
          <w:szCs w:val="32"/>
        </w:rPr>
        <w:t>日前竣</w:t>
      </w:r>
      <w:r w:rsidR="006F76CC" w:rsidRPr="002C75B3">
        <w:rPr>
          <w:rFonts w:eastAsia="仿宋_GB2312" w:hint="eastAsia"/>
          <w:color w:val="000000" w:themeColor="text1"/>
          <w:sz w:val="32"/>
          <w:szCs w:val="32"/>
        </w:rPr>
        <w:t>（交）</w:t>
      </w:r>
      <w:r w:rsidR="00F67E6D" w:rsidRPr="002C75B3">
        <w:rPr>
          <w:rFonts w:eastAsia="仿宋_GB2312" w:hint="eastAsia"/>
          <w:color w:val="000000" w:themeColor="text1"/>
          <w:sz w:val="32"/>
          <w:szCs w:val="32"/>
        </w:rPr>
        <w:t>工</w:t>
      </w:r>
      <w:r w:rsidR="00C56C0A" w:rsidRPr="002C75B3">
        <w:rPr>
          <w:rFonts w:eastAsia="仿宋_GB2312" w:hint="eastAsia"/>
          <w:color w:val="000000" w:themeColor="text1"/>
          <w:sz w:val="32"/>
          <w:szCs w:val="32"/>
        </w:rPr>
        <w:t>验收</w:t>
      </w:r>
      <w:r w:rsidR="009C0C30" w:rsidRPr="002C75B3">
        <w:rPr>
          <w:rFonts w:eastAsia="仿宋_GB2312" w:hint="eastAsia"/>
          <w:color w:val="000000" w:themeColor="text1"/>
          <w:sz w:val="32"/>
          <w:szCs w:val="32"/>
        </w:rPr>
        <w:t>合格</w:t>
      </w:r>
      <w:r w:rsidR="00C56C0A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CC322D" w:rsidRPr="002C75B3">
        <w:rPr>
          <w:rFonts w:eastAsia="仿宋_GB2312" w:hint="eastAsia"/>
          <w:color w:val="000000" w:themeColor="text1"/>
          <w:sz w:val="32"/>
          <w:szCs w:val="32"/>
        </w:rPr>
        <w:t>并</w:t>
      </w:r>
      <w:r w:rsidR="00B02D22" w:rsidRPr="002C75B3">
        <w:rPr>
          <w:rFonts w:eastAsia="仿宋_GB2312" w:hint="eastAsia"/>
          <w:color w:val="000000" w:themeColor="text1"/>
          <w:sz w:val="32"/>
          <w:szCs w:val="32"/>
        </w:rPr>
        <w:t>已</w:t>
      </w:r>
      <w:r w:rsidR="00B63949" w:rsidRPr="002C75B3">
        <w:rPr>
          <w:rFonts w:eastAsia="仿宋_GB2312" w:hint="eastAsia"/>
          <w:color w:val="000000" w:themeColor="text1"/>
          <w:sz w:val="32"/>
          <w:szCs w:val="32"/>
        </w:rPr>
        <w:t>完成</w:t>
      </w:r>
      <w:r w:rsidR="002027F9" w:rsidRPr="002C75B3">
        <w:rPr>
          <w:rFonts w:eastAsia="仿宋_GB2312" w:hint="eastAsia"/>
          <w:color w:val="000000" w:themeColor="text1"/>
          <w:sz w:val="32"/>
          <w:szCs w:val="32"/>
        </w:rPr>
        <w:t>竣工</w:t>
      </w:r>
      <w:r w:rsidR="00B63949" w:rsidRPr="002C75B3">
        <w:rPr>
          <w:rFonts w:eastAsia="仿宋_GB2312" w:hint="eastAsia"/>
          <w:color w:val="000000" w:themeColor="text1"/>
          <w:sz w:val="32"/>
          <w:szCs w:val="32"/>
        </w:rPr>
        <w:t>备案（房屋建筑和市政工程）或综合验收（工业交通水利</w:t>
      </w:r>
      <w:r w:rsidR="00A44054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r w:rsidR="00B63949"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DE2380" w:rsidRPr="002C75B3">
        <w:rPr>
          <w:rFonts w:eastAsia="仿宋_GB2312" w:hint="eastAsia"/>
          <w:color w:val="000000" w:themeColor="text1"/>
          <w:sz w:val="32"/>
          <w:szCs w:val="32"/>
        </w:rPr>
        <w:t>，且已投入使用</w:t>
      </w:r>
      <w:r w:rsidR="0070537B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6D2167" w:rsidRPr="002C75B3" w:rsidRDefault="000D788F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8.</w:t>
      </w:r>
      <w:r w:rsidR="000C66E7" w:rsidRPr="002C75B3">
        <w:rPr>
          <w:rFonts w:eastAsia="仿宋_GB2312" w:hint="eastAsia"/>
          <w:color w:val="000000" w:themeColor="text1"/>
          <w:sz w:val="32"/>
          <w:szCs w:val="32"/>
        </w:rPr>
        <w:t>住宅工程</w:t>
      </w:r>
      <w:r w:rsidR="00631150" w:rsidRPr="002C75B3">
        <w:rPr>
          <w:rFonts w:eastAsia="仿宋_GB2312" w:hint="eastAsia"/>
          <w:color w:val="000000" w:themeColor="text1"/>
          <w:sz w:val="32"/>
          <w:szCs w:val="32"/>
        </w:rPr>
        <w:t>的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室内公共部分（如楼梯间、电梯井前室、走廊、地下室等）</w:t>
      </w:r>
      <w:r w:rsidR="00531EDF" w:rsidRPr="002C75B3">
        <w:rPr>
          <w:rFonts w:ascii="仿宋_GB2312" w:eastAsia="仿宋_GB2312" w:hint="eastAsia"/>
          <w:color w:val="000000" w:themeColor="text1"/>
          <w:sz w:val="32"/>
          <w:szCs w:val="32"/>
        </w:rPr>
        <w:t>和室外部分应一次装修到位（含建筑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设备），</w:t>
      </w:r>
      <w:r w:rsidR="00993AFA" w:rsidRPr="002C75B3">
        <w:rPr>
          <w:rFonts w:eastAsia="仿宋_GB2312" w:hint="eastAsia"/>
          <w:color w:val="000000" w:themeColor="text1"/>
          <w:sz w:val="32"/>
          <w:szCs w:val="32"/>
        </w:rPr>
        <w:t>同等条件下</w:t>
      </w:r>
      <w:r w:rsidR="00A47406" w:rsidRPr="002C75B3">
        <w:rPr>
          <w:rFonts w:eastAsia="仿宋_GB2312" w:hint="eastAsia"/>
          <w:color w:val="000000" w:themeColor="text1"/>
          <w:sz w:val="32"/>
          <w:szCs w:val="32"/>
        </w:rPr>
        <w:t>优先</w:t>
      </w:r>
      <w:r w:rsidR="00024B4D" w:rsidRPr="002C75B3">
        <w:rPr>
          <w:rFonts w:eastAsia="仿宋_GB2312" w:hint="eastAsia"/>
          <w:color w:val="000000" w:themeColor="text1"/>
          <w:sz w:val="32"/>
          <w:szCs w:val="32"/>
        </w:rPr>
        <w:t>推荐采用</w:t>
      </w:r>
      <w:r w:rsidR="003C7870" w:rsidRPr="002C75B3">
        <w:rPr>
          <w:rFonts w:eastAsia="仿宋_GB2312" w:hint="eastAsia"/>
          <w:color w:val="000000" w:themeColor="text1"/>
          <w:sz w:val="32"/>
          <w:szCs w:val="32"/>
        </w:rPr>
        <w:t>全装修</w:t>
      </w:r>
      <w:r w:rsidR="00A47406" w:rsidRPr="002C75B3">
        <w:rPr>
          <w:rFonts w:eastAsia="仿宋_GB2312" w:hint="eastAsia"/>
          <w:color w:val="000000" w:themeColor="text1"/>
          <w:sz w:val="32"/>
          <w:szCs w:val="32"/>
        </w:rPr>
        <w:t>项目</w:t>
      </w:r>
      <w:r w:rsidR="003C7870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313784" w:rsidRPr="002C75B3" w:rsidRDefault="000D788F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9.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公共建筑</w:t>
      </w:r>
      <w:r w:rsidR="00631150" w:rsidRPr="002C75B3">
        <w:rPr>
          <w:rFonts w:eastAsia="仿宋_GB2312" w:hint="eastAsia"/>
          <w:color w:val="000000" w:themeColor="text1"/>
          <w:sz w:val="32"/>
          <w:szCs w:val="32"/>
        </w:rPr>
        <w:t>的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室内部分</w:t>
      </w:r>
      <w:r w:rsidR="00DD31E8" w:rsidRPr="002C75B3">
        <w:rPr>
          <w:rFonts w:eastAsia="仿宋_GB2312" w:hint="eastAsia"/>
          <w:color w:val="000000" w:themeColor="text1"/>
          <w:sz w:val="32"/>
          <w:szCs w:val="32"/>
        </w:rPr>
        <w:t>一次装修到位</w:t>
      </w:r>
      <w:r w:rsidR="00DD31E8" w:rsidRPr="002C75B3">
        <w:rPr>
          <w:rFonts w:ascii="仿宋_GB2312" w:eastAsia="仿宋_GB2312" w:hint="eastAsia"/>
          <w:color w:val="000000" w:themeColor="text1"/>
          <w:sz w:val="32"/>
          <w:szCs w:val="32"/>
        </w:rPr>
        <w:t>（含建筑</w:t>
      </w:r>
      <w:r w:rsidR="00DD31E8" w:rsidRPr="002C75B3">
        <w:rPr>
          <w:rFonts w:eastAsia="仿宋_GB2312" w:hint="eastAsia"/>
          <w:color w:val="000000" w:themeColor="text1"/>
          <w:sz w:val="32"/>
          <w:szCs w:val="32"/>
        </w:rPr>
        <w:t>设备）</w:t>
      </w:r>
      <w:r w:rsidR="00AC5A2F" w:rsidRPr="002C75B3">
        <w:rPr>
          <w:rFonts w:eastAsia="仿宋_GB2312" w:hint="eastAsia"/>
          <w:color w:val="000000" w:themeColor="text1"/>
          <w:sz w:val="32"/>
          <w:szCs w:val="32"/>
        </w:rPr>
        <w:t>的面积应不低于</w:t>
      </w:r>
      <w:r w:rsidR="00074274" w:rsidRPr="002C75B3">
        <w:rPr>
          <w:rFonts w:eastAsia="仿宋_GB2312" w:hint="eastAsia"/>
          <w:color w:val="000000" w:themeColor="text1"/>
          <w:sz w:val="32"/>
          <w:szCs w:val="32"/>
        </w:rPr>
        <w:t>申报面积的</w:t>
      </w:r>
      <w:r w:rsidR="00AC5A2F" w:rsidRPr="002C75B3">
        <w:rPr>
          <w:rFonts w:eastAsia="仿宋_GB2312" w:hint="eastAsia"/>
          <w:color w:val="000000" w:themeColor="text1"/>
          <w:sz w:val="32"/>
          <w:szCs w:val="32"/>
        </w:rPr>
        <w:t>90%</w:t>
      </w:r>
      <w:r w:rsidR="00DD31E8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室内公共部分（如楼梯间、电梯井前室、厕浴、走廊、地下室等）</w:t>
      </w:r>
      <w:r w:rsidR="00531EDF" w:rsidRPr="002C75B3">
        <w:rPr>
          <w:rFonts w:ascii="仿宋_GB2312" w:eastAsia="仿宋_GB2312" w:hint="eastAsia"/>
          <w:color w:val="000000" w:themeColor="text1"/>
          <w:sz w:val="32"/>
          <w:szCs w:val="32"/>
        </w:rPr>
        <w:t>和室外部分应一次装修到位（含建筑</w:t>
      </w:r>
      <w:r w:rsidR="00531EDF" w:rsidRPr="002C75B3">
        <w:rPr>
          <w:rFonts w:eastAsia="仿宋_GB2312" w:hint="eastAsia"/>
          <w:color w:val="000000" w:themeColor="text1"/>
          <w:sz w:val="32"/>
          <w:szCs w:val="32"/>
        </w:rPr>
        <w:t>设备）；</w:t>
      </w:r>
    </w:p>
    <w:p w:rsidR="00ED5583" w:rsidRPr="002C75B3" w:rsidRDefault="00C019B9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="004609E8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424CC2" w:rsidRPr="002C75B3">
        <w:rPr>
          <w:rFonts w:eastAsia="仿宋_GB2312" w:hint="eastAsia"/>
          <w:color w:val="000000" w:themeColor="text1"/>
          <w:sz w:val="32"/>
          <w:szCs w:val="32"/>
        </w:rPr>
        <w:t>住宅、</w:t>
      </w:r>
      <w:r w:rsidR="00B442DD" w:rsidRPr="002C75B3">
        <w:rPr>
          <w:rFonts w:eastAsia="仿宋_GB2312" w:hint="eastAsia"/>
          <w:color w:val="000000" w:themeColor="text1"/>
          <w:sz w:val="32"/>
          <w:szCs w:val="32"/>
        </w:rPr>
        <w:t>公共建筑、工业</w:t>
      </w:r>
      <w:r w:rsidR="00424CC2" w:rsidRPr="002C75B3">
        <w:rPr>
          <w:rFonts w:eastAsia="仿宋_GB2312" w:hint="eastAsia"/>
          <w:color w:val="000000" w:themeColor="text1"/>
          <w:sz w:val="32"/>
          <w:szCs w:val="32"/>
        </w:rPr>
        <w:t>建筑</w:t>
      </w:r>
      <w:r w:rsidR="00B442DD" w:rsidRPr="002C75B3">
        <w:rPr>
          <w:rFonts w:eastAsia="仿宋_GB2312" w:hint="eastAsia"/>
          <w:color w:val="000000" w:themeColor="text1"/>
          <w:sz w:val="32"/>
          <w:szCs w:val="32"/>
        </w:rPr>
        <w:t>及市政工程中的高架道路、立交桥等工程结构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必须为</w:t>
      </w:r>
      <w:r w:rsidR="00F81FD5" w:rsidRPr="002C75B3">
        <w:rPr>
          <w:rFonts w:eastAsia="仿宋_GB2312" w:hint="eastAsia"/>
          <w:color w:val="000000" w:themeColor="text1"/>
          <w:sz w:val="32"/>
          <w:szCs w:val="32"/>
        </w:rPr>
        <w:t>优质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结构工程</w:t>
      </w:r>
      <w:r w:rsidR="005C557B" w:rsidRPr="002C75B3">
        <w:rPr>
          <w:rFonts w:eastAsia="仿宋_GB2312" w:hint="eastAsia"/>
          <w:color w:val="000000" w:themeColor="text1"/>
          <w:sz w:val="32"/>
          <w:szCs w:val="32"/>
        </w:rPr>
        <w:t>。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开展市级工程优质结构评定的地区，应为市级</w:t>
      </w:r>
      <w:r w:rsidR="00F81FD5" w:rsidRPr="002C75B3">
        <w:rPr>
          <w:rFonts w:eastAsia="仿宋_GB2312" w:hint="eastAsia"/>
          <w:color w:val="000000" w:themeColor="text1"/>
          <w:sz w:val="32"/>
          <w:szCs w:val="32"/>
        </w:rPr>
        <w:t>优质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结构工程；未开展市级工程</w:t>
      </w:r>
      <w:r w:rsidR="00080CBD" w:rsidRPr="002C75B3">
        <w:rPr>
          <w:rFonts w:eastAsia="仿宋_GB2312" w:hint="eastAsia"/>
          <w:color w:val="000000" w:themeColor="text1"/>
          <w:sz w:val="32"/>
          <w:szCs w:val="32"/>
        </w:rPr>
        <w:t>优质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结构评定的地区，由工程所在地</w:t>
      </w:r>
      <w:r w:rsidR="00AD325D" w:rsidRPr="002C75B3">
        <w:rPr>
          <w:rFonts w:eastAsia="仿宋_GB2312" w:hint="eastAsia"/>
          <w:color w:val="000000" w:themeColor="text1"/>
          <w:sz w:val="32"/>
          <w:szCs w:val="32"/>
        </w:rPr>
        <w:t>建设行政主管部门或其委托的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市级</w:t>
      </w:r>
      <w:r w:rsidR="00963823" w:rsidRPr="002C75B3">
        <w:rPr>
          <w:rFonts w:eastAsia="仿宋_GB2312" w:hint="eastAsia"/>
          <w:color w:val="000000" w:themeColor="text1"/>
          <w:sz w:val="32"/>
          <w:szCs w:val="32"/>
        </w:rPr>
        <w:t>协会联合有关部门组织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专家评价审定，并提供工程结构质量</w:t>
      </w:r>
      <w:r w:rsidR="00A921F3" w:rsidRPr="002C75B3">
        <w:rPr>
          <w:rFonts w:eastAsia="仿宋_GB2312" w:hint="eastAsia"/>
          <w:color w:val="000000" w:themeColor="text1"/>
          <w:sz w:val="32"/>
          <w:szCs w:val="32"/>
        </w:rPr>
        <w:t>为优质的</w:t>
      </w:r>
      <w:r w:rsidR="00ED5583" w:rsidRPr="002C75B3">
        <w:rPr>
          <w:rFonts w:eastAsia="仿宋_GB2312" w:hint="eastAsia"/>
          <w:color w:val="000000" w:themeColor="text1"/>
          <w:sz w:val="32"/>
          <w:szCs w:val="32"/>
        </w:rPr>
        <w:t>证明材料；</w:t>
      </w:r>
    </w:p>
    <w:p w:rsidR="003A7D7C" w:rsidRPr="002C75B3" w:rsidRDefault="003A7D7C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C019B9"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工程的科技含量较高，积极应用建设部推广的建筑业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项新技术中的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5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项（含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5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项）以上。</w:t>
      </w:r>
      <w:r w:rsidR="00B02874" w:rsidRPr="002C75B3">
        <w:rPr>
          <w:rFonts w:eastAsia="仿宋_GB2312" w:hint="eastAsia"/>
          <w:color w:val="000000" w:themeColor="text1"/>
          <w:sz w:val="32"/>
          <w:szCs w:val="32"/>
        </w:rPr>
        <w:t>同等条件下</w:t>
      </w:r>
      <w:r w:rsidR="00D619F9" w:rsidRPr="002C75B3">
        <w:rPr>
          <w:rFonts w:eastAsia="仿宋_GB2312" w:hint="eastAsia"/>
          <w:color w:val="000000" w:themeColor="text1"/>
          <w:sz w:val="32"/>
          <w:szCs w:val="32"/>
        </w:rPr>
        <w:t>优先</w:t>
      </w:r>
      <w:r w:rsidR="00B02874" w:rsidRPr="002C75B3">
        <w:rPr>
          <w:rFonts w:eastAsia="仿宋_GB2312" w:hint="eastAsia"/>
          <w:color w:val="000000" w:themeColor="text1"/>
          <w:sz w:val="32"/>
          <w:szCs w:val="32"/>
        </w:rPr>
        <w:t>推荐</w:t>
      </w:r>
      <w:r w:rsidR="00D619F9" w:rsidRPr="002C75B3">
        <w:rPr>
          <w:rFonts w:eastAsia="仿宋_GB2312" w:hint="eastAsia"/>
          <w:color w:val="000000" w:themeColor="text1"/>
          <w:sz w:val="32"/>
          <w:szCs w:val="32"/>
        </w:rPr>
        <w:t>获得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省</w:t>
      </w:r>
      <w:r w:rsidR="00D619F9" w:rsidRPr="002C75B3">
        <w:rPr>
          <w:rFonts w:eastAsia="仿宋_GB2312" w:hint="eastAsia"/>
          <w:color w:val="000000" w:themeColor="text1"/>
          <w:sz w:val="32"/>
          <w:szCs w:val="32"/>
        </w:rPr>
        <w:t>（部）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级</w:t>
      </w:r>
      <w:r w:rsidR="00D619F9" w:rsidRPr="002C75B3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F76924" w:rsidRPr="002C75B3">
        <w:rPr>
          <w:rFonts w:eastAsia="仿宋_GB2312" w:hint="eastAsia"/>
          <w:color w:val="000000" w:themeColor="text1"/>
          <w:sz w:val="32"/>
          <w:szCs w:val="32"/>
        </w:rPr>
        <w:t>建筑业新技术应用示范工程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的项目，在施工中形成</w:t>
      </w:r>
      <w:r w:rsidR="00D619F9" w:rsidRPr="002C75B3">
        <w:rPr>
          <w:rFonts w:eastAsia="仿宋_GB2312" w:hint="eastAsia"/>
          <w:color w:val="000000" w:themeColor="text1"/>
          <w:sz w:val="32"/>
          <w:szCs w:val="32"/>
        </w:rPr>
        <w:t>省（部）级及以上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工法</w:t>
      </w:r>
      <w:r w:rsidR="00647B31" w:rsidRPr="002C75B3">
        <w:rPr>
          <w:rFonts w:eastAsia="仿宋_GB2312" w:hint="eastAsia"/>
          <w:color w:val="000000" w:themeColor="text1"/>
          <w:sz w:val="32"/>
          <w:szCs w:val="32"/>
        </w:rPr>
        <w:t>、专利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的项目；</w:t>
      </w:r>
    </w:p>
    <w:p w:rsidR="00F153FB" w:rsidRPr="002C75B3" w:rsidRDefault="001071EA" w:rsidP="007953DF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714EF7" w:rsidRPr="002C75B3">
        <w:rPr>
          <w:rFonts w:eastAsia="仿宋_GB2312" w:hint="eastAsia"/>
          <w:color w:val="000000" w:themeColor="text1"/>
          <w:sz w:val="32"/>
          <w:szCs w:val="32"/>
        </w:rPr>
        <w:t>2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534D6E" w:rsidRPr="002C75B3">
        <w:rPr>
          <w:rFonts w:eastAsia="仿宋_GB2312" w:hint="eastAsia"/>
          <w:color w:val="000000" w:themeColor="text1"/>
          <w:sz w:val="32"/>
          <w:szCs w:val="32"/>
        </w:rPr>
        <w:t>农村住房工程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要求</w:t>
      </w:r>
      <w:r w:rsidR="000003D2" w:rsidRPr="002C75B3">
        <w:rPr>
          <w:rFonts w:eastAsia="仿宋_GB2312" w:hint="eastAsia"/>
          <w:color w:val="000000" w:themeColor="text1"/>
          <w:sz w:val="32"/>
          <w:szCs w:val="32"/>
        </w:rPr>
        <w:t>统一规划、连片建设，办理《乡村建设规划许可证》或《建设工程规划许可证》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，由具有资质的设计、施工、监理单位实施，配套完善并且办理竣工验收手续。</w:t>
      </w:r>
    </w:p>
    <w:p w:rsidR="00F153FB" w:rsidRPr="002C75B3" w:rsidRDefault="00DD738A" w:rsidP="007953DF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三、</w:t>
      </w:r>
      <w:r w:rsidR="00E25BD7" w:rsidRPr="002C75B3">
        <w:rPr>
          <w:rFonts w:eastAsia="仿宋_GB2312" w:hint="eastAsia"/>
          <w:color w:val="000000" w:themeColor="text1"/>
          <w:sz w:val="32"/>
          <w:szCs w:val="32"/>
        </w:rPr>
        <w:t>申报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钱江杯的项目工程规模必须符合下列条件之一：</w:t>
      </w:r>
    </w:p>
    <w:p w:rsidR="00F153FB" w:rsidRPr="002C75B3" w:rsidRDefault="00000431" w:rsidP="007953DF">
      <w:pPr>
        <w:spacing w:line="660" w:lineRule="exact"/>
        <w:ind w:firstLineChars="250" w:firstLine="80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座以上的体育场或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座以上的体育馆；</w:t>
      </w:r>
    </w:p>
    <w:p w:rsidR="00F153FB" w:rsidRPr="002C75B3" w:rsidRDefault="00000431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2.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座以上的影剧院；</w:t>
      </w:r>
    </w:p>
    <w:p w:rsidR="00F153FB" w:rsidRPr="002C75B3" w:rsidRDefault="00447F5A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3.</w:t>
      </w:r>
      <w:r w:rsidR="00694B13" w:rsidRPr="002C75B3">
        <w:rPr>
          <w:rFonts w:eastAsia="仿宋_GB2312" w:hint="eastAsia"/>
          <w:color w:val="000000" w:themeColor="text1"/>
          <w:sz w:val="32"/>
          <w:szCs w:val="32"/>
        </w:rPr>
        <w:t xml:space="preserve"> 1000</w:t>
      </w:r>
      <w:r w:rsidR="00694B13" w:rsidRPr="002C75B3">
        <w:rPr>
          <w:rFonts w:eastAsia="仿宋_GB2312" w:hint="eastAsia"/>
          <w:color w:val="000000" w:themeColor="text1"/>
          <w:sz w:val="32"/>
          <w:szCs w:val="32"/>
        </w:rPr>
        <w:t>座以上的游泳馆；</w:t>
      </w:r>
    </w:p>
    <w:p w:rsidR="00F153FB" w:rsidRPr="002C75B3" w:rsidRDefault="00FE2C97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4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一级公路或高速公路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公里以上，二级公路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20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公里以上，五级航道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公里以上，沿海码头万吨级以上，内河码头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吨级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8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个以上；</w:t>
      </w:r>
    </w:p>
    <w:p w:rsidR="00F153FB" w:rsidRPr="002C75B3" w:rsidRDefault="00FE2C97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5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长度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500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米以上的公路桥梁，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米以上的公路隧道；</w:t>
      </w:r>
    </w:p>
    <w:p w:rsidR="00C05C8D" w:rsidRPr="002C75B3" w:rsidRDefault="00FE2C97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6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设区市（不含衢州、丽水、舟山）的城区为建筑面积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10000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平方米以上单体建筑，所属县（市）的建筑面积为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8000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平方米以上单体建筑；衢州、丽水、舟山三市</w:t>
      </w:r>
      <w:r w:rsidR="00961DB8" w:rsidRPr="002C75B3">
        <w:rPr>
          <w:rFonts w:eastAsia="仿宋_GB2312" w:hint="eastAsia"/>
          <w:color w:val="000000" w:themeColor="text1"/>
          <w:sz w:val="32"/>
          <w:szCs w:val="32"/>
        </w:rPr>
        <w:t>的城区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建筑面积为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8000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平方米以上单体建筑，所属县（市）的建筑面积为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5000</w:t>
      </w:r>
      <w:r w:rsidR="00C05C8D" w:rsidRPr="002C75B3">
        <w:rPr>
          <w:rFonts w:eastAsia="仿宋_GB2312" w:hint="eastAsia"/>
          <w:color w:val="000000" w:themeColor="text1"/>
          <w:sz w:val="32"/>
          <w:szCs w:val="32"/>
        </w:rPr>
        <w:t>平方米以上单体建筑；</w:t>
      </w:r>
    </w:p>
    <w:p w:rsidR="00465DC0" w:rsidRPr="002C75B3" w:rsidRDefault="00A34DB3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7.</w:t>
      </w:r>
      <w:r w:rsidR="00032A59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20000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平方米以上功能有机联系的公共建筑群体，</w:t>
      </w:r>
      <w:r w:rsidR="00032A59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30000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平方米以上配套建设的住宅小区或组团，</w:t>
      </w:r>
      <w:r w:rsidR="00032A59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15000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平方米以上</w:t>
      </w:r>
      <w:r w:rsidR="007C03F0" w:rsidRPr="002C75B3">
        <w:rPr>
          <w:rFonts w:eastAsia="仿宋_GB2312" w:hint="eastAsia"/>
          <w:color w:val="000000" w:themeColor="text1"/>
          <w:sz w:val="32"/>
          <w:szCs w:val="32"/>
        </w:rPr>
        <w:t>旧城改造中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连片建设住宅，</w:t>
      </w:r>
      <w:r w:rsidR="00032A59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10000</w:t>
      </w:r>
      <w:r w:rsidR="00ED3F62" w:rsidRPr="002C75B3">
        <w:rPr>
          <w:rFonts w:eastAsia="仿宋_GB2312" w:hint="eastAsia"/>
          <w:color w:val="000000" w:themeColor="text1"/>
          <w:sz w:val="32"/>
          <w:szCs w:val="32"/>
        </w:rPr>
        <w:t>平方米以上</w:t>
      </w:r>
      <w:r w:rsidR="007D1E6E" w:rsidRPr="002C75B3">
        <w:rPr>
          <w:rFonts w:eastAsia="仿宋_GB2312" w:hint="eastAsia"/>
          <w:color w:val="000000" w:themeColor="text1"/>
          <w:sz w:val="32"/>
          <w:szCs w:val="32"/>
        </w:rPr>
        <w:t>统一规划、连片建设</w:t>
      </w:r>
      <w:r w:rsidR="00ED3F62" w:rsidRPr="002C75B3">
        <w:rPr>
          <w:rFonts w:eastAsia="仿宋_GB2312" w:hint="eastAsia"/>
          <w:color w:val="000000" w:themeColor="text1"/>
          <w:sz w:val="32"/>
          <w:szCs w:val="32"/>
        </w:rPr>
        <w:t>的村镇住宅群</w:t>
      </w:r>
      <w:r w:rsidR="00465DC0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552CB4" w:rsidRPr="002C75B3" w:rsidRDefault="004B457C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8.</w:t>
      </w:r>
      <w:r w:rsidR="00465DC0" w:rsidRPr="002C75B3">
        <w:rPr>
          <w:rFonts w:eastAsia="仿宋_GB2312" w:hint="eastAsia"/>
          <w:color w:val="000000" w:themeColor="text1"/>
          <w:sz w:val="32"/>
          <w:szCs w:val="32"/>
        </w:rPr>
        <w:t>保障性安居工程：</w:t>
      </w:r>
      <w:r w:rsidR="00FC7C2A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FC7C2A" w:rsidRPr="002C75B3">
        <w:rPr>
          <w:rFonts w:eastAsia="仿宋_GB2312" w:hint="eastAsia"/>
          <w:color w:val="000000" w:themeColor="text1"/>
          <w:sz w:val="32"/>
          <w:szCs w:val="32"/>
        </w:rPr>
        <w:t>5000</w:t>
      </w:r>
      <w:r w:rsidR="00FC7C2A" w:rsidRPr="002C75B3">
        <w:rPr>
          <w:rFonts w:eastAsia="仿宋_GB2312" w:hint="eastAsia"/>
          <w:color w:val="000000" w:themeColor="text1"/>
          <w:sz w:val="32"/>
          <w:szCs w:val="32"/>
        </w:rPr>
        <w:t>平方米以上单体建筑，</w:t>
      </w:r>
      <w:r w:rsidR="00D726FC" w:rsidRPr="002C75B3">
        <w:rPr>
          <w:rFonts w:eastAsia="仿宋_GB2312" w:hint="eastAsia"/>
          <w:color w:val="000000" w:themeColor="text1"/>
          <w:sz w:val="32"/>
          <w:szCs w:val="32"/>
        </w:rPr>
        <w:t>20000</w:t>
      </w:r>
      <w:r w:rsidR="00D726FC" w:rsidRPr="002C75B3">
        <w:rPr>
          <w:rFonts w:eastAsia="仿宋_GB2312" w:hint="eastAsia"/>
          <w:color w:val="000000" w:themeColor="text1"/>
          <w:sz w:val="32"/>
          <w:szCs w:val="32"/>
        </w:rPr>
        <w:t>平方米以上</w:t>
      </w:r>
      <w:r w:rsidR="003858DD" w:rsidRPr="002C75B3">
        <w:rPr>
          <w:rFonts w:eastAsia="仿宋_GB2312" w:hint="eastAsia"/>
          <w:color w:val="000000" w:themeColor="text1"/>
          <w:sz w:val="32"/>
          <w:szCs w:val="32"/>
        </w:rPr>
        <w:t>的群体建筑</w:t>
      </w:r>
      <w:r w:rsidR="00D726FC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EC54FF" w:rsidRPr="002C75B3" w:rsidRDefault="004B457C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装配式建筑</w:t>
      </w:r>
      <w:r w:rsidR="006537D9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：建筑面积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8000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平方米及以上</w:t>
      </w:r>
      <w:r w:rsidR="00EB7FE6" w:rsidRPr="002C75B3">
        <w:rPr>
          <w:rFonts w:eastAsia="仿宋_GB2312" w:hint="eastAsia"/>
          <w:color w:val="000000" w:themeColor="text1"/>
          <w:sz w:val="32"/>
          <w:szCs w:val="32"/>
        </w:rPr>
        <w:t>单体</w:t>
      </w:r>
      <w:r w:rsidR="00880594" w:rsidRPr="002C75B3">
        <w:rPr>
          <w:rFonts w:eastAsia="仿宋_GB2312" w:hint="eastAsia"/>
          <w:color w:val="000000" w:themeColor="text1"/>
          <w:sz w:val="32"/>
          <w:szCs w:val="32"/>
        </w:rPr>
        <w:t>建筑</w:t>
      </w:r>
      <w:r w:rsidR="006537D9" w:rsidRPr="002C75B3">
        <w:rPr>
          <w:rFonts w:eastAsia="仿宋_GB2312" w:hint="eastAsia"/>
          <w:color w:val="000000" w:themeColor="text1"/>
          <w:sz w:val="32"/>
          <w:szCs w:val="32"/>
        </w:rPr>
        <w:t>，建筑面积</w:t>
      </w:r>
      <w:r w:rsidR="00EC54FF" w:rsidRPr="002C75B3">
        <w:rPr>
          <w:rFonts w:eastAsia="仿宋_GB2312" w:hint="eastAsia"/>
          <w:color w:val="000000" w:themeColor="text1"/>
          <w:sz w:val="32"/>
          <w:szCs w:val="32"/>
        </w:rPr>
        <w:t>20000</w:t>
      </w:r>
      <w:r w:rsidR="00EC54FF" w:rsidRPr="002C75B3">
        <w:rPr>
          <w:rFonts w:eastAsia="仿宋_GB2312" w:hint="eastAsia"/>
          <w:color w:val="000000" w:themeColor="text1"/>
          <w:sz w:val="32"/>
          <w:szCs w:val="32"/>
        </w:rPr>
        <w:t>平方米以上的</w:t>
      </w:r>
      <w:r w:rsidR="00EB7FE6" w:rsidRPr="002C75B3">
        <w:rPr>
          <w:rFonts w:eastAsia="仿宋_GB2312" w:hint="eastAsia"/>
          <w:color w:val="000000" w:themeColor="text1"/>
          <w:sz w:val="32"/>
          <w:szCs w:val="32"/>
        </w:rPr>
        <w:t>群体建筑</w:t>
      </w:r>
      <w:r w:rsidR="00EC54FF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552CB4" w:rsidRPr="002C75B3">
        <w:rPr>
          <w:rFonts w:eastAsia="仿宋_GB2312" w:hint="eastAsia"/>
          <w:color w:val="000000" w:themeColor="text1"/>
          <w:sz w:val="32"/>
          <w:szCs w:val="32"/>
        </w:rPr>
        <w:t>并</w:t>
      </w:r>
      <w:r w:rsidR="00EC54FF" w:rsidRPr="002C75B3">
        <w:rPr>
          <w:rFonts w:eastAsia="仿宋_GB2312" w:hint="eastAsia"/>
          <w:color w:val="000000" w:themeColor="text1"/>
          <w:sz w:val="32"/>
          <w:szCs w:val="32"/>
        </w:rPr>
        <w:t>应符合《工业化建筑评价导则》要求。</w:t>
      </w:r>
    </w:p>
    <w:p w:rsidR="00F153FB" w:rsidRPr="008C5BEB" w:rsidRDefault="00A41FFC" w:rsidP="00797A24">
      <w:pPr>
        <w:spacing w:line="660" w:lineRule="exact"/>
        <w:ind w:firstLine="709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9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单体</w:t>
      </w:r>
      <w:r w:rsidR="00793FA8" w:rsidRPr="002C75B3">
        <w:rPr>
          <w:rFonts w:eastAsia="仿宋_GB2312" w:hint="eastAsia"/>
          <w:color w:val="000000" w:themeColor="text1"/>
          <w:sz w:val="32"/>
          <w:szCs w:val="32"/>
        </w:rPr>
        <w:t>建筑面积</w:t>
      </w:r>
      <w:r w:rsidR="00180716"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000</w:t>
      </w:r>
      <w:r w:rsidR="007C2761" w:rsidRPr="002C75B3">
        <w:rPr>
          <w:rFonts w:eastAsia="仿宋_GB2312" w:hint="eastAsia"/>
          <w:color w:val="000000" w:themeColor="text1"/>
          <w:sz w:val="32"/>
          <w:szCs w:val="32"/>
        </w:rPr>
        <w:t>平方米以上的仿古建筑；</w:t>
      </w:r>
      <w:r w:rsidR="008C5BEB" w:rsidRPr="00756052">
        <w:rPr>
          <w:rFonts w:eastAsia="仿宋_GB2312" w:hint="eastAsia"/>
          <w:sz w:val="32"/>
          <w:szCs w:val="32"/>
        </w:rPr>
        <w:t>绿化面积在</w:t>
      </w:r>
      <w:r w:rsidR="008C5BEB" w:rsidRPr="00756052">
        <w:rPr>
          <w:rFonts w:eastAsia="仿宋_GB2312"/>
          <w:sz w:val="32"/>
          <w:szCs w:val="32"/>
        </w:rPr>
        <w:t>30000</w:t>
      </w:r>
      <w:r w:rsidR="008C5BEB" w:rsidRPr="00756052">
        <w:rPr>
          <w:rFonts w:eastAsia="仿宋_GB2312" w:hint="eastAsia"/>
          <w:sz w:val="32"/>
          <w:szCs w:val="32"/>
        </w:rPr>
        <w:t>平方米（含）以上且工程造价在</w:t>
      </w:r>
      <w:r w:rsidR="008C5BEB" w:rsidRPr="00756052">
        <w:rPr>
          <w:rFonts w:eastAsia="仿宋_GB2312"/>
          <w:sz w:val="32"/>
          <w:szCs w:val="32"/>
        </w:rPr>
        <w:t>2000</w:t>
      </w:r>
      <w:r w:rsidR="008C5BEB" w:rsidRPr="00756052">
        <w:rPr>
          <w:rFonts w:eastAsia="仿宋_GB2312" w:hint="eastAsia"/>
          <w:sz w:val="32"/>
          <w:szCs w:val="32"/>
        </w:rPr>
        <w:t>万元（含）以上，其中建安合同</w:t>
      </w:r>
      <w:r w:rsidR="008C5BEB" w:rsidRPr="00756052">
        <w:rPr>
          <w:rFonts w:eastAsia="仿宋_GB2312" w:hint="eastAsia"/>
          <w:sz w:val="32"/>
          <w:szCs w:val="32"/>
        </w:rPr>
        <w:t>500</w:t>
      </w:r>
      <w:r w:rsidR="008C5BEB" w:rsidRPr="00756052">
        <w:rPr>
          <w:rFonts w:eastAsia="仿宋_GB2312" w:hint="eastAsia"/>
          <w:sz w:val="32"/>
          <w:szCs w:val="32"/>
        </w:rPr>
        <w:t>万以上的新建综合性园林工程。</w:t>
      </w:r>
      <w:r w:rsidR="008C5BEB" w:rsidRPr="00756052" w:rsidDel="008C5BEB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7818DD" w:rsidRPr="002C75B3" w:rsidRDefault="00CA4A73" w:rsidP="00797A24">
      <w:pPr>
        <w:spacing w:line="660" w:lineRule="exact"/>
        <w:ind w:firstLine="709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9E5472" w:rsidRPr="002C75B3">
        <w:rPr>
          <w:rFonts w:eastAsia="仿宋_GB2312" w:hint="eastAsia"/>
          <w:color w:val="000000" w:themeColor="text1"/>
          <w:sz w:val="32"/>
          <w:szCs w:val="32"/>
        </w:rPr>
        <w:t>市政工程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：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万元以上的城市道路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及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管道工程；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3500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万元以上的垃圾处置场及河道堤岸工程；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日处理能力在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500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吨以上的垃圾处理工程；日处理能力在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5</w:t>
      </w:r>
      <w:r w:rsidR="000E7423" w:rsidRPr="002C75B3">
        <w:rPr>
          <w:rFonts w:eastAsia="仿宋_GB2312" w:hint="eastAsia"/>
          <w:color w:val="000000" w:themeColor="text1"/>
          <w:sz w:val="32"/>
          <w:szCs w:val="32"/>
        </w:rPr>
        <w:t>万吨以上的净水厂及污水处理厂工程；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5000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万元以上桥梁及高架</w:t>
      </w:r>
      <w:r w:rsidR="00BC630F" w:rsidRPr="002C75B3">
        <w:rPr>
          <w:rFonts w:eastAsia="仿宋_GB2312" w:hint="eastAsia"/>
          <w:color w:val="000000" w:themeColor="text1"/>
          <w:sz w:val="32"/>
          <w:szCs w:val="32"/>
        </w:rPr>
        <w:t>道路</w:t>
      </w:r>
      <w:r w:rsidR="00A34DB3" w:rsidRPr="002C75B3">
        <w:rPr>
          <w:rFonts w:eastAsia="仿宋_GB2312" w:hint="eastAsia"/>
          <w:color w:val="000000" w:themeColor="text1"/>
          <w:sz w:val="32"/>
          <w:szCs w:val="32"/>
        </w:rPr>
        <w:t>（交通枢纽）、隧道</w:t>
      </w:r>
      <w:r w:rsidR="00E32339" w:rsidRPr="002C75B3">
        <w:rPr>
          <w:rFonts w:eastAsia="仿宋_GB2312" w:hint="eastAsia"/>
          <w:color w:val="000000" w:themeColor="text1"/>
          <w:sz w:val="32"/>
          <w:szCs w:val="32"/>
        </w:rPr>
        <w:t>、管廊、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城市广场</w:t>
      </w:r>
      <w:r w:rsidR="00FA6B2E" w:rsidRPr="002C75B3">
        <w:rPr>
          <w:rFonts w:eastAsia="仿宋_GB2312" w:hint="eastAsia"/>
          <w:color w:val="000000" w:themeColor="text1"/>
          <w:sz w:val="32"/>
          <w:szCs w:val="32"/>
        </w:rPr>
        <w:t>、轨道交通停车场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等工程；长度在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千米（</w:t>
      </w:r>
      <w:r w:rsidR="00756AE0" w:rsidRPr="002C75B3">
        <w:rPr>
          <w:rFonts w:eastAsia="仿宋_GB2312" w:hint="eastAsia"/>
          <w:color w:val="000000" w:themeColor="text1"/>
          <w:sz w:val="32"/>
          <w:szCs w:val="32"/>
        </w:rPr>
        <w:t>必须最小单元是一站</w:t>
      </w:r>
      <w:proofErr w:type="gramStart"/>
      <w:r w:rsidR="00756AE0" w:rsidRPr="002C75B3">
        <w:rPr>
          <w:rFonts w:eastAsia="仿宋_GB2312" w:hint="eastAsia"/>
          <w:color w:val="000000" w:themeColor="text1"/>
          <w:sz w:val="32"/>
          <w:szCs w:val="32"/>
        </w:rPr>
        <w:t>一</w:t>
      </w:r>
      <w:proofErr w:type="gramEnd"/>
      <w:r w:rsidR="00756AE0" w:rsidRPr="002C75B3">
        <w:rPr>
          <w:rFonts w:eastAsia="仿宋_GB2312" w:hint="eastAsia"/>
          <w:color w:val="000000" w:themeColor="text1"/>
          <w:sz w:val="32"/>
          <w:szCs w:val="32"/>
        </w:rPr>
        <w:t>区间</w:t>
      </w:r>
      <w:r w:rsidR="00814582" w:rsidRPr="002C75B3">
        <w:rPr>
          <w:rFonts w:eastAsia="仿宋_GB2312" w:hint="eastAsia"/>
          <w:color w:val="000000" w:themeColor="text1"/>
          <w:sz w:val="32"/>
          <w:szCs w:val="32"/>
        </w:rPr>
        <w:t>）及以上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轨道交通工程</w:t>
      </w:r>
      <w:r w:rsidR="00C444B3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F153FB" w:rsidRPr="002C75B3" w:rsidRDefault="003C4C51" w:rsidP="007953DF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4579F8"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规模无具体划分标准，但具有显著社会效益和环境效益，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1000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万元以上的特殊工程项目；</w:t>
      </w:r>
    </w:p>
    <w:p w:rsidR="00F153FB" w:rsidRPr="002C75B3" w:rsidRDefault="003C4C51" w:rsidP="00797A24">
      <w:pPr>
        <w:spacing w:line="660" w:lineRule="exact"/>
        <w:ind w:firstLineChars="225" w:firstLine="72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4579F8" w:rsidRPr="002C75B3">
        <w:rPr>
          <w:rFonts w:eastAsia="仿宋_GB2312" w:hint="eastAsia"/>
          <w:color w:val="000000" w:themeColor="text1"/>
          <w:sz w:val="32"/>
          <w:szCs w:val="32"/>
        </w:rPr>
        <w:t>2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面积偏小但具有代表性和影响力，建筑风格独具特色，质量特别优良的工程项目。</w:t>
      </w:r>
    </w:p>
    <w:p w:rsidR="00F153FB" w:rsidRPr="002C75B3" w:rsidRDefault="00F153FB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除符合上述条件以外的工业、交通、市政、水利等专业工程应达到国家规定的大中型项目标准。</w:t>
      </w:r>
    </w:p>
    <w:p w:rsidR="00F153FB" w:rsidRPr="002C75B3" w:rsidRDefault="00224727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4579F8" w:rsidRPr="002C75B3">
        <w:rPr>
          <w:rFonts w:eastAsia="仿宋_GB2312" w:hint="eastAsia"/>
          <w:color w:val="000000" w:themeColor="text1"/>
          <w:sz w:val="32"/>
          <w:szCs w:val="32"/>
        </w:rPr>
        <w:t>3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764391" w:rsidRPr="002C75B3">
        <w:rPr>
          <w:rFonts w:eastAsia="仿宋_GB2312" w:hint="eastAsia"/>
          <w:color w:val="000000" w:themeColor="text1"/>
          <w:sz w:val="32"/>
          <w:szCs w:val="32"/>
        </w:rPr>
        <w:t>申报钱江杯的单位工程的划分必须符合有关规定，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以</w:t>
      </w:r>
      <w:r w:rsidR="00721068" w:rsidRPr="002C75B3">
        <w:rPr>
          <w:rFonts w:eastAsia="仿宋_GB2312" w:hint="eastAsia"/>
          <w:color w:val="000000" w:themeColor="text1"/>
          <w:sz w:val="32"/>
          <w:szCs w:val="32"/>
        </w:rPr>
        <w:t>项目立项批准文件</w:t>
      </w:r>
      <w:r w:rsidR="00742C9B" w:rsidRPr="002C75B3">
        <w:rPr>
          <w:rFonts w:eastAsia="仿宋_GB2312" w:hint="eastAsia"/>
          <w:color w:val="000000" w:themeColor="text1"/>
          <w:sz w:val="32"/>
          <w:szCs w:val="32"/>
        </w:rPr>
        <w:t>或</w:t>
      </w:r>
      <w:r w:rsidR="004579F8" w:rsidRPr="002C75B3">
        <w:rPr>
          <w:rFonts w:eastAsia="仿宋_GB2312" w:hint="eastAsia"/>
          <w:color w:val="000000" w:themeColor="text1"/>
          <w:sz w:val="32"/>
          <w:szCs w:val="32"/>
        </w:rPr>
        <w:t>施工许可证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为</w:t>
      </w:r>
      <w:r w:rsidR="00493166" w:rsidRPr="002C75B3">
        <w:rPr>
          <w:rFonts w:eastAsia="仿宋_GB2312" w:hint="eastAsia"/>
          <w:color w:val="000000" w:themeColor="text1"/>
          <w:sz w:val="32"/>
          <w:szCs w:val="32"/>
        </w:rPr>
        <w:t>标准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，不得人为地任意分割或合并，以确保工程结构的连续性和功能完整性。</w:t>
      </w:r>
    </w:p>
    <w:p w:rsidR="005572BA" w:rsidRPr="002C75B3" w:rsidRDefault="001908D2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5572BA" w:rsidRPr="002C75B3">
        <w:rPr>
          <w:rFonts w:eastAsia="仿宋_GB2312" w:hint="eastAsia"/>
          <w:color w:val="000000" w:themeColor="text1"/>
          <w:sz w:val="32"/>
          <w:szCs w:val="32"/>
        </w:rPr>
        <w:t>条</w:t>
      </w:r>
      <w:r w:rsidR="003D47EB" w:rsidRPr="002C75B3">
        <w:rPr>
          <w:rFonts w:eastAsia="仿宋_GB2312" w:hint="eastAsia"/>
          <w:color w:val="000000" w:themeColor="text1"/>
          <w:sz w:val="32"/>
          <w:szCs w:val="32"/>
        </w:rPr>
        <w:t>状建筑因超长而设置变形缝的不论有几个单元组成，均应视作一个</w:t>
      </w:r>
      <w:r w:rsidR="00400291" w:rsidRPr="002C75B3">
        <w:rPr>
          <w:rFonts w:eastAsia="仿宋_GB2312" w:hint="eastAsia"/>
          <w:color w:val="000000" w:themeColor="text1"/>
          <w:sz w:val="32"/>
          <w:szCs w:val="32"/>
        </w:rPr>
        <w:t>单位</w:t>
      </w:r>
      <w:r w:rsidR="003D47EB" w:rsidRPr="002C75B3">
        <w:rPr>
          <w:rFonts w:eastAsia="仿宋_GB2312" w:hint="eastAsia"/>
          <w:color w:val="000000" w:themeColor="text1"/>
          <w:sz w:val="32"/>
          <w:szCs w:val="32"/>
        </w:rPr>
        <w:t>工程；</w:t>
      </w:r>
    </w:p>
    <w:p w:rsidR="005572BA" w:rsidRPr="002C75B3" w:rsidRDefault="001908D2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2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3D47EB" w:rsidRPr="002C75B3">
        <w:rPr>
          <w:rFonts w:eastAsia="仿宋_GB2312" w:hint="eastAsia"/>
          <w:color w:val="000000" w:themeColor="text1"/>
          <w:sz w:val="32"/>
          <w:szCs w:val="32"/>
        </w:rPr>
        <w:t>主（塔）楼与裙房相连，不论是否设置变形缝，应视作一个</w:t>
      </w:r>
      <w:r w:rsidR="00BE28C3" w:rsidRPr="002C75B3">
        <w:rPr>
          <w:rFonts w:eastAsia="仿宋_GB2312" w:hint="eastAsia"/>
          <w:color w:val="000000" w:themeColor="text1"/>
          <w:sz w:val="32"/>
          <w:szCs w:val="32"/>
        </w:rPr>
        <w:t>单位</w:t>
      </w:r>
      <w:r w:rsidR="003D47EB" w:rsidRPr="002C75B3">
        <w:rPr>
          <w:rFonts w:eastAsia="仿宋_GB2312" w:hint="eastAsia"/>
          <w:color w:val="000000" w:themeColor="text1"/>
          <w:sz w:val="32"/>
          <w:szCs w:val="32"/>
        </w:rPr>
        <w:t>工程</w:t>
      </w:r>
      <w:r w:rsidR="00BE28C3" w:rsidRPr="002C75B3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F153FB" w:rsidRPr="002C75B3" w:rsidRDefault="00F153FB" w:rsidP="00797A24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四、</w:t>
      </w:r>
      <w:r w:rsidR="0077129D" w:rsidRPr="002C75B3">
        <w:rPr>
          <w:rFonts w:eastAsia="仿宋_GB2312" w:hint="eastAsia"/>
          <w:color w:val="000000" w:themeColor="text1"/>
          <w:sz w:val="32"/>
          <w:szCs w:val="32"/>
        </w:rPr>
        <w:t>申报</w:t>
      </w:r>
      <w:r w:rsidR="00D2682B" w:rsidRPr="002C75B3">
        <w:rPr>
          <w:rFonts w:eastAsia="仿宋_GB2312" w:hint="eastAsia"/>
          <w:color w:val="000000" w:themeColor="text1"/>
          <w:sz w:val="32"/>
          <w:szCs w:val="32"/>
        </w:rPr>
        <w:t>钱江杯的</w:t>
      </w:r>
      <w:r w:rsidR="00010F58" w:rsidRPr="002C75B3">
        <w:rPr>
          <w:rFonts w:eastAsia="仿宋_GB2312" w:hint="eastAsia"/>
          <w:color w:val="000000" w:themeColor="text1"/>
          <w:sz w:val="32"/>
          <w:szCs w:val="32"/>
        </w:rPr>
        <w:t>主承建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单位、主要参建</w:t>
      </w:r>
      <w:r w:rsidRPr="002C75B3">
        <w:rPr>
          <w:rFonts w:eastAsia="仿宋_GB2312"/>
          <w:color w:val="000000" w:themeColor="text1"/>
          <w:sz w:val="32"/>
          <w:szCs w:val="32"/>
        </w:rPr>
        <w:t>单位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应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符合下列条件：</w:t>
      </w:r>
    </w:p>
    <w:p w:rsidR="00F153FB" w:rsidRPr="002C75B3" w:rsidRDefault="00E5358F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1.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在浙江省内注册或</w:t>
      </w:r>
      <w:r w:rsidR="00432878" w:rsidRPr="002C75B3">
        <w:rPr>
          <w:rFonts w:eastAsia="仿宋_GB2312" w:hint="eastAsia"/>
          <w:color w:val="000000" w:themeColor="text1"/>
          <w:sz w:val="32"/>
          <w:szCs w:val="32"/>
        </w:rPr>
        <w:t>已</w:t>
      </w:r>
      <w:proofErr w:type="gramStart"/>
      <w:r w:rsidR="00432878" w:rsidRPr="002C75B3">
        <w:rPr>
          <w:rFonts w:eastAsia="仿宋_GB2312" w:hint="eastAsia"/>
          <w:color w:val="000000" w:themeColor="text1"/>
          <w:sz w:val="32"/>
          <w:szCs w:val="32"/>
        </w:rPr>
        <w:t>办理进浙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备案</w:t>
      </w:r>
      <w:proofErr w:type="gramEnd"/>
      <w:r w:rsidR="00432878" w:rsidRPr="002C75B3">
        <w:rPr>
          <w:rFonts w:eastAsia="仿宋_GB2312" w:hint="eastAsia"/>
          <w:color w:val="000000" w:themeColor="text1"/>
          <w:sz w:val="32"/>
          <w:szCs w:val="32"/>
        </w:rPr>
        <w:t>手续</w:t>
      </w:r>
      <w:r w:rsidR="00F153FB" w:rsidRPr="002C75B3">
        <w:rPr>
          <w:rFonts w:eastAsia="仿宋_GB2312" w:hint="eastAsia"/>
          <w:color w:val="000000" w:themeColor="text1"/>
          <w:sz w:val="32"/>
          <w:szCs w:val="32"/>
        </w:rPr>
        <w:t>的建筑业企业；</w:t>
      </w:r>
    </w:p>
    <w:p w:rsidR="005A10B3" w:rsidRPr="002C75B3" w:rsidRDefault="00E5358F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2.</w:t>
      </w:r>
      <w:r w:rsidR="005A10B3" w:rsidRPr="002C75B3">
        <w:rPr>
          <w:rFonts w:eastAsia="仿宋_GB2312" w:hint="eastAsia"/>
          <w:color w:val="000000" w:themeColor="text1"/>
          <w:sz w:val="32"/>
          <w:szCs w:val="32"/>
        </w:rPr>
        <w:t>主承建单位：</w:t>
      </w:r>
    </w:p>
    <w:p w:rsidR="005A10B3" w:rsidRPr="002C75B3" w:rsidRDefault="005A10B3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）与申报工程的建设单位签订工程总承包合同或施工承包合同</w:t>
      </w:r>
      <w:r w:rsidR="00505BB8" w:rsidRPr="002C75B3">
        <w:rPr>
          <w:rFonts w:eastAsia="仿宋_GB2312" w:hint="eastAsia"/>
          <w:color w:val="000000" w:themeColor="text1"/>
          <w:sz w:val="32"/>
          <w:szCs w:val="32"/>
        </w:rPr>
        <w:t>的独立法人单位；</w:t>
      </w:r>
    </w:p>
    <w:p w:rsidR="005A10B3" w:rsidRPr="002C75B3" w:rsidRDefault="005A10B3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2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）公共建筑和住宅工程中，</w:t>
      </w:r>
      <w:r w:rsidR="0092178D" w:rsidRPr="002C75B3">
        <w:rPr>
          <w:rFonts w:ascii="仿宋_GB2312" w:eastAsia="仿宋_GB2312" w:hint="eastAsia"/>
          <w:color w:val="000000" w:themeColor="text1"/>
          <w:sz w:val="32"/>
          <w:szCs w:val="32"/>
        </w:rPr>
        <w:t>承建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主体结构</w:t>
      </w:r>
      <w:r w:rsidR="0092178D" w:rsidRPr="002C75B3">
        <w:rPr>
          <w:rFonts w:ascii="仿宋_GB2312" w:eastAsia="仿宋_GB2312" w:hint="eastAsia"/>
          <w:color w:val="000000" w:themeColor="text1"/>
          <w:sz w:val="32"/>
          <w:szCs w:val="32"/>
        </w:rPr>
        <w:t>的施工企业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A2625E" w:rsidRPr="002C75B3" w:rsidRDefault="005A10B3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3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DD2F9D" w:rsidRPr="002C75B3">
        <w:rPr>
          <w:rFonts w:ascii="仿宋_GB2312" w:eastAsia="仿宋_GB2312" w:hint="eastAsia"/>
          <w:color w:val="000000" w:themeColor="text1"/>
          <w:sz w:val="32"/>
          <w:szCs w:val="32"/>
        </w:rPr>
        <w:t>工业工程（含电力工程）应为安装主要生产设备和管线、仪器仪表的施工企业</w:t>
      </w:r>
      <w:r w:rsidR="00FC5831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A2625E" w:rsidRPr="002C75B3" w:rsidRDefault="001F5FA9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="002C69EA" w:rsidRPr="002C75B3">
        <w:rPr>
          <w:rFonts w:eastAsia="仿宋_GB2312" w:hint="eastAsia"/>
          <w:color w:val="000000" w:themeColor="text1"/>
          <w:sz w:val="32"/>
          <w:szCs w:val="32"/>
        </w:rPr>
        <w:t>4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A2625E" w:rsidRPr="002C75B3">
        <w:rPr>
          <w:rFonts w:eastAsia="仿宋_GB2312" w:hint="eastAsia"/>
          <w:color w:val="000000" w:themeColor="text1"/>
          <w:sz w:val="32"/>
          <w:szCs w:val="32"/>
        </w:rPr>
        <w:t>交通</w:t>
      </w:r>
      <w:r w:rsidR="0056213A" w:rsidRPr="002C75B3">
        <w:rPr>
          <w:rFonts w:eastAsia="仿宋_GB2312" w:hint="eastAsia"/>
          <w:color w:val="000000" w:themeColor="text1"/>
          <w:sz w:val="32"/>
          <w:szCs w:val="32"/>
        </w:rPr>
        <w:t>、</w:t>
      </w:r>
      <w:r w:rsidR="00A2625E" w:rsidRPr="002C75B3">
        <w:rPr>
          <w:rFonts w:eastAsia="仿宋_GB2312" w:hint="eastAsia"/>
          <w:color w:val="000000" w:themeColor="text1"/>
          <w:sz w:val="32"/>
          <w:szCs w:val="32"/>
        </w:rPr>
        <w:t>水利、市政</w:t>
      </w:r>
      <w:r w:rsidR="006A09BD" w:rsidRPr="002C75B3">
        <w:rPr>
          <w:rFonts w:eastAsia="仿宋_GB2312" w:hint="eastAsia"/>
          <w:color w:val="000000" w:themeColor="text1"/>
          <w:sz w:val="32"/>
          <w:szCs w:val="32"/>
        </w:rPr>
        <w:t>、</w:t>
      </w:r>
      <w:r w:rsidR="00A2625E" w:rsidRPr="002C75B3">
        <w:rPr>
          <w:rFonts w:eastAsia="仿宋_GB2312" w:hint="eastAsia"/>
          <w:color w:val="000000" w:themeColor="text1"/>
          <w:sz w:val="32"/>
          <w:szCs w:val="32"/>
        </w:rPr>
        <w:t>园林工程中，</w:t>
      </w:r>
      <w:r w:rsidR="00B63F98" w:rsidRPr="002C75B3">
        <w:rPr>
          <w:rFonts w:ascii="仿宋_GB2312" w:eastAsia="仿宋_GB2312" w:hint="eastAsia"/>
          <w:color w:val="000000" w:themeColor="text1"/>
          <w:sz w:val="32"/>
          <w:szCs w:val="32"/>
        </w:rPr>
        <w:t>承建</w:t>
      </w:r>
      <w:r w:rsidR="00B63F98" w:rsidRPr="002C75B3">
        <w:rPr>
          <w:rFonts w:eastAsia="仿宋_GB2312" w:hint="eastAsia"/>
          <w:color w:val="000000" w:themeColor="text1"/>
          <w:sz w:val="32"/>
          <w:szCs w:val="32"/>
        </w:rPr>
        <w:t>主体工程或</w:t>
      </w:r>
      <w:r w:rsidR="00381185" w:rsidRPr="002C75B3">
        <w:rPr>
          <w:rFonts w:eastAsia="仿宋_GB2312" w:hint="eastAsia"/>
          <w:color w:val="000000" w:themeColor="text1"/>
          <w:sz w:val="32"/>
          <w:szCs w:val="32"/>
        </w:rPr>
        <w:t>工程主要部位的</w:t>
      </w:r>
      <w:r w:rsidR="00B63F98" w:rsidRPr="002C75B3">
        <w:rPr>
          <w:rFonts w:ascii="仿宋_GB2312" w:eastAsia="仿宋_GB2312" w:hint="eastAsia"/>
          <w:color w:val="000000" w:themeColor="text1"/>
          <w:sz w:val="32"/>
          <w:szCs w:val="32"/>
        </w:rPr>
        <w:t>施工企业</w:t>
      </w:r>
      <w:r w:rsidR="00A2625E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AB42E0" w:rsidRPr="002C75B3" w:rsidRDefault="000266C5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3</w:t>
      </w:r>
      <w:r w:rsidR="00574602" w:rsidRPr="002C75B3">
        <w:rPr>
          <w:rFonts w:eastAsia="仿宋_GB2312" w:hint="eastAsia"/>
          <w:color w:val="000000" w:themeColor="text1"/>
          <w:sz w:val="32"/>
          <w:szCs w:val="32"/>
        </w:rPr>
        <w:t>.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主要参建单位除</w:t>
      </w:r>
      <w:r w:rsidR="007E1DDE" w:rsidRPr="002C75B3">
        <w:rPr>
          <w:rFonts w:eastAsia="仿宋_GB2312" w:hint="eastAsia"/>
          <w:color w:val="000000" w:themeColor="text1"/>
          <w:sz w:val="32"/>
          <w:szCs w:val="32"/>
        </w:rPr>
        <w:t>工程规模超过</w:t>
      </w:r>
      <w:r w:rsidR="007E1DDE" w:rsidRPr="002C75B3">
        <w:rPr>
          <w:rFonts w:eastAsia="仿宋_GB2312" w:hint="eastAsia"/>
          <w:color w:val="000000" w:themeColor="text1"/>
          <w:sz w:val="32"/>
          <w:szCs w:val="32"/>
        </w:rPr>
        <w:t>10</w:t>
      </w:r>
      <w:r w:rsidR="007E1DDE" w:rsidRPr="002C75B3">
        <w:rPr>
          <w:rFonts w:eastAsia="仿宋_GB2312" w:hint="eastAsia"/>
          <w:color w:val="000000" w:themeColor="text1"/>
          <w:sz w:val="32"/>
          <w:szCs w:val="32"/>
        </w:rPr>
        <w:t>亿且施工难度较高、施工工艺复杂的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大型</w:t>
      </w:r>
      <w:r w:rsidR="0041354D" w:rsidRPr="002C75B3">
        <w:rPr>
          <w:rFonts w:eastAsia="仿宋_GB2312" w:hint="eastAsia"/>
          <w:color w:val="000000" w:themeColor="text1"/>
          <w:sz w:val="32"/>
          <w:szCs w:val="32"/>
        </w:rPr>
        <w:t>建设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工程外，一项工程原则上</w:t>
      </w:r>
      <w:r w:rsidR="009F2D97" w:rsidRPr="002C75B3">
        <w:rPr>
          <w:rFonts w:eastAsia="仿宋_GB2312" w:hint="eastAsia"/>
          <w:color w:val="000000" w:themeColor="text1"/>
          <w:sz w:val="32"/>
          <w:szCs w:val="32"/>
        </w:rPr>
        <w:t>不超过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两个单位，且必须具备下列条件：</w:t>
      </w:r>
    </w:p>
    <w:p w:rsidR="00574602" w:rsidRPr="002C75B3" w:rsidRDefault="00574602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）与</w:t>
      </w:r>
      <w:r w:rsidR="00DA0768" w:rsidRPr="002C75B3">
        <w:rPr>
          <w:rFonts w:eastAsia="仿宋_GB2312" w:hint="eastAsia"/>
          <w:color w:val="000000" w:themeColor="text1"/>
          <w:sz w:val="32"/>
          <w:szCs w:val="32"/>
        </w:rPr>
        <w:t>主承建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单位签订分包合同</w:t>
      </w:r>
      <w:r w:rsidR="00DA0768" w:rsidRPr="002C75B3">
        <w:rPr>
          <w:rFonts w:eastAsia="仿宋_GB2312" w:hint="eastAsia"/>
          <w:color w:val="000000" w:themeColor="text1"/>
          <w:sz w:val="32"/>
          <w:szCs w:val="32"/>
        </w:rPr>
        <w:t>的独立法人单位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180C76" w:rsidRPr="002C75B3" w:rsidRDefault="00574602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2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完成的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占</w:t>
      </w:r>
      <w:r w:rsidR="00843CE9" w:rsidRPr="002C75B3">
        <w:rPr>
          <w:rFonts w:eastAsia="仿宋_GB2312" w:hint="eastAsia"/>
          <w:color w:val="000000" w:themeColor="text1"/>
          <w:sz w:val="32"/>
          <w:szCs w:val="32"/>
        </w:rPr>
        <w:t>总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981099" w:rsidRPr="002C75B3">
        <w:rPr>
          <w:rFonts w:eastAsia="仿宋_GB2312" w:hint="eastAsia"/>
          <w:color w:val="000000" w:themeColor="text1"/>
          <w:sz w:val="32"/>
          <w:szCs w:val="32"/>
        </w:rPr>
        <w:t>20</w:t>
      </w:r>
      <w:r w:rsidR="00AB42E0" w:rsidRPr="002C75B3">
        <w:rPr>
          <w:rFonts w:eastAsia="仿宋_GB2312" w:hint="eastAsia"/>
          <w:color w:val="000000" w:themeColor="text1"/>
          <w:sz w:val="32"/>
          <w:szCs w:val="32"/>
        </w:rPr>
        <w:t>%</w:t>
      </w:r>
      <w:r w:rsidR="007E701D" w:rsidRPr="002C75B3">
        <w:rPr>
          <w:rFonts w:eastAsia="仿宋_GB2312" w:hint="eastAsia"/>
          <w:color w:val="000000" w:themeColor="text1"/>
          <w:sz w:val="32"/>
          <w:szCs w:val="32"/>
        </w:rPr>
        <w:t>以上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180C76" w:rsidRPr="002C75B3" w:rsidRDefault="00574602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3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</w:t>
      </w:r>
      <w:r w:rsidR="00411960" w:rsidRPr="002C75B3">
        <w:rPr>
          <w:rFonts w:eastAsia="仿宋_GB2312" w:hint="eastAsia"/>
          <w:color w:val="000000" w:themeColor="text1"/>
          <w:sz w:val="32"/>
          <w:szCs w:val="32"/>
        </w:rPr>
        <w:t>参建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住宅小区（群体建筑、村镇住宅群）</w:t>
      </w:r>
      <w:r w:rsidR="003406CE" w:rsidRPr="002C75B3">
        <w:rPr>
          <w:rFonts w:eastAsia="仿宋_GB2312" w:hint="eastAsia"/>
          <w:color w:val="000000" w:themeColor="text1"/>
          <w:sz w:val="32"/>
          <w:szCs w:val="32"/>
        </w:rPr>
        <w:t>的</w:t>
      </w:r>
      <w:r w:rsidR="00D528C5" w:rsidRPr="002C75B3">
        <w:rPr>
          <w:rFonts w:eastAsia="仿宋_GB2312"/>
          <w:color w:val="000000" w:themeColor="text1"/>
          <w:sz w:val="32"/>
          <w:szCs w:val="32"/>
        </w:rPr>
        <w:t>建筑业企业</w:t>
      </w:r>
      <w:r w:rsidR="00411960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6322DF" w:rsidRPr="002C75B3">
        <w:rPr>
          <w:rFonts w:eastAsia="仿宋_GB2312" w:hint="eastAsia"/>
          <w:color w:val="000000" w:themeColor="text1"/>
          <w:sz w:val="32"/>
          <w:szCs w:val="32"/>
        </w:rPr>
        <w:t>如完成的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4C00A8" w:rsidRPr="002C75B3">
        <w:rPr>
          <w:rFonts w:eastAsia="仿宋_GB2312" w:hint="eastAsia"/>
          <w:color w:val="000000" w:themeColor="text1"/>
          <w:sz w:val="32"/>
          <w:szCs w:val="32"/>
        </w:rPr>
        <w:t>低于总</w:t>
      </w:r>
      <w:r w:rsidR="00257E7B" w:rsidRPr="002C75B3">
        <w:rPr>
          <w:rFonts w:eastAsia="仿宋_GB2312" w:hint="eastAsia"/>
          <w:color w:val="000000" w:themeColor="text1"/>
          <w:sz w:val="32"/>
          <w:szCs w:val="32"/>
        </w:rPr>
        <w:t>建安合同造价</w:t>
      </w:r>
      <w:r w:rsidR="00E92BFC" w:rsidRPr="002C75B3">
        <w:rPr>
          <w:rFonts w:eastAsia="仿宋_GB2312" w:hint="eastAsia"/>
          <w:color w:val="000000" w:themeColor="text1"/>
          <w:sz w:val="32"/>
          <w:szCs w:val="32"/>
        </w:rPr>
        <w:t>20</w:t>
      </w:r>
      <w:r w:rsidR="004C00A8" w:rsidRPr="002C75B3">
        <w:rPr>
          <w:rFonts w:eastAsia="仿宋_GB2312" w:hint="eastAsia"/>
          <w:color w:val="000000" w:themeColor="text1"/>
          <w:sz w:val="32"/>
          <w:szCs w:val="32"/>
        </w:rPr>
        <w:t>%</w:t>
      </w:r>
      <w:r w:rsidR="006322DF" w:rsidRPr="002C75B3">
        <w:rPr>
          <w:rFonts w:eastAsia="仿宋_GB2312" w:hint="eastAsia"/>
          <w:color w:val="000000" w:themeColor="text1"/>
          <w:sz w:val="32"/>
          <w:szCs w:val="32"/>
        </w:rPr>
        <w:t>，</w:t>
      </w:r>
      <w:r w:rsidR="006C7C0D" w:rsidRPr="002C75B3">
        <w:rPr>
          <w:rFonts w:eastAsia="仿宋_GB2312" w:hint="eastAsia"/>
          <w:color w:val="000000" w:themeColor="text1"/>
          <w:sz w:val="32"/>
          <w:szCs w:val="32"/>
        </w:rPr>
        <w:t>但</w:t>
      </w:r>
      <w:r w:rsidR="00EF347C" w:rsidRPr="002C75B3">
        <w:rPr>
          <w:rFonts w:eastAsia="仿宋_GB2312" w:hint="eastAsia"/>
          <w:color w:val="000000" w:themeColor="text1"/>
          <w:sz w:val="32"/>
          <w:szCs w:val="32"/>
        </w:rPr>
        <w:t>其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完成的装饰装修</w:t>
      </w:r>
      <w:r w:rsidR="00ED38EC" w:rsidRPr="002C75B3">
        <w:rPr>
          <w:rFonts w:eastAsia="仿宋_GB2312" w:hint="eastAsia"/>
          <w:color w:val="000000" w:themeColor="text1"/>
          <w:sz w:val="32"/>
          <w:szCs w:val="32"/>
        </w:rPr>
        <w:t>工程合同造价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800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万元以上，或完成的安装</w:t>
      </w:r>
      <w:r w:rsidR="00ED38EC" w:rsidRPr="002C75B3">
        <w:rPr>
          <w:rFonts w:eastAsia="仿宋_GB2312" w:hint="eastAsia"/>
          <w:color w:val="000000" w:themeColor="text1"/>
          <w:sz w:val="32"/>
          <w:szCs w:val="32"/>
        </w:rPr>
        <w:t>工程合同造价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在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500</w:t>
      </w:r>
      <w:r w:rsidR="00180C76" w:rsidRPr="002C75B3">
        <w:rPr>
          <w:rFonts w:eastAsia="仿宋_GB2312" w:hint="eastAsia"/>
          <w:color w:val="000000" w:themeColor="text1"/>
          <w:sz w:val="32"/>
          <w:szCs w:val="32"/>
        </w:rPr>
        <w:t>万元以上，也可申报参建单位</w:t>
      </w:r>
      <w:r w:rsidR="00AC158D" w:rsidRPr="002C75B3">
        <w:rPr>
          <w:rFonts w:eastAsia="仿宋_GB2312" w:hint="eastAsia"/>
          <w:color w:val="000000" w:themeColor="text1"/>
          <w:sz w:val="32"/>
          <w:szCs w:val="32"/>
        </w:rPr>
        <w:t>；</w:t>
      </w:r>
    </w:p>
    <w:p w:rsidR="00AC158D" w:rsidRPr="002C75B3" w:rsidRDefault="00AC158D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（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4</w:t>
      </w:r>
      <w:r w:rsidRPr="002C75B3">
        <w:rPr>
          <w:rFonts w:eastAsia="仿宋_GB2312" w:hint="eastAsia"/>
          <w:color w:val="000000" w:themeColor="text1"/>
          <w:sz w:val="32"/>
          <w:szCs w:val="32"/>
        </w:rPr>
        <w:t>）获得</w:t>
      </w:r>
      <w:r w:rsidR="00616745" w:rsidRPr="002C75B3">
        <w:rPr>
          <w:rFonts w:eastAsia="仿宋_GB2312" w:hint="eastAsia"/>
          <w:color w:val="000000" w:themeColor="text1"/>
          <w:sz w:val="32"/>
          <w:szCs w:val="32"/>
        </w:rPr>
        <w:t>本地区或本行业最高质量奖参建单位</w:t>
      </w:r>
      <w:r w:rsidR="00745B88" w:rsidRPr="002C75B3">
        <w:rPr>
          <w:rFonts w:eastAsia="仿宋_GB2312" w:hint="eastAsia"/>
          <w:color w:val="000000" w:themeColor="text1"/>
          <w:sz w:val="32"/>
          <w:szCs w:val="32"/>
        </w:rPr>
        <w:t>称号</w:t>
      </w:r>
      <w:r w:rsidR="00616745" w:rsidRPr="002C75B3">
        <w:rPr>
          <w:rFonts w:eastAsia="仿宋_GB2312" w:hint="eastAsia"/>
          <w:color w:val="000000" w:themeColor="text1"/>
          <w:sz w:val="32"/>
          <w:szCs w:val="32"/>
        </w:rPr>
        <w:t>和</w:t>
      </w:r>
      <w:r w:rsidR="00686CBD" w:rsidRPr="002C75B3">
        <w:rPr>
          <w:rFonts w:eastAsia="仿宋_GB2312" w:hint="eastAsia"/>
          <w:color w:val="000000" w:themeColor="text1"/>
          <w:sz w:val="32"/>
          <w:szCs w:val="32"/>
        </w:rPr>
        <w:t>浙江省建筑安全文明施工标准化工地</w:t>
      </w:r>
      <w:r w:rsidR="00616745" w:rsidRPr="002C75B3">
        <w:rPr>
          <w:rFonts w:eastAsia="仿宋_GB2312" w:hint="eastAsia"/>
          <w:color w:val="000000" w:themeColor="text1"/>
          <w:sz w:val="32"/>
          <w:szCs w:val="32"/>
        </w:rPr>
        <w:t>参建单位</w:t>
      </w:r>
      <w:r w:rsidR="00686CBD" w:rsidRPr="002C75B3">
        <w:rPr>
          <w:rFonts w:eastAsia="仿宋_GB2312" w:hint="eastAsia"/>
          <w:color w:val="000000" w:themeColor="text1"/>
          <w:sz w:val="32"/>
          <w:szCs w:val="32"/>
        </w:rPr>
        <w:t>称号</w:t>
      </w:r>
      <w:r w:rsidR="00745B88" w:rsidRPr="002C75B3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50578B" w:rsidRPr="002C75B3" w:rsidRDefault="0016555C" w:rsidP="00797A24">
      <w:pPr>
        <w:spacing w:line="6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4.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两家以上建筑业企业联合承包一项工程，并签订联合承包合同的，可以联合申报</w:t>
      </w:r>
      <w:r w:rsidR="0050578B" w:rsidRPr="002C75B3">
        <w:rPr>
          <w:rFonts w:eastAsia="仿宋_GB2312" w:hint="eastAsia"/>
          <w:color w:val="000000" w:themeColor="text1"/>
          <w:sz w:val="32"/>
          <w:szCs w:val="32"/>
        </w:rPr>
        <w:t>钱江杯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。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br/>
      </w:r>
      <w:r w:rsidR="0050578B" w:rsidRPr="002C75B3">
        <w:rPr>
          <w:rFonts w:eastAsia="仿宋_GB2312"/>
          <w:color w:val="000000" w:themeColor="text1"/>
          <w:sz w:val="32"/>
          <w:szCs w:val="32"/>
        </w:rPr>
        <w:t xml:space="preserve">　　对于分标段发包的大型建设工程，两家以上建筑业企业分别与建设单位签订不同标段的施工承包合同，原则上每家建筑业企业完成的工作量均在</w:t>
      </w:r>
      <w:r w:rsidR="005C66E8" w:rsidRPr="002C75B3">
        <w:rPr>
          <w:rFonts w:eastAsia="仿宋_GB2312" w:hint="eastAsia"/>
          <w:color w:val="000000" w:themeColor="text1"/>
          <w:sz w:val="32"/>
          <w:szCs w:val="32"/>
        </w:rPr>
        <w:t>3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0%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以上，且不少于</w:t>
      </w:r>
      <w:r w:rsidR="00700727" w:rsidRPr="002C75B3">
        <w:rPr>
          <w:rFonts w:eastAsia="仿宋_GB2312" w:hint="eastAsia"/>
          <w:color w:val="000000" w:themeColor="text1"/>
          <w:sz w:val="32"/>
          <w:szCs w:val="32"/>
        </w:rPr>
        <w:t>1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亿元的，可作为承建单位共同申报。与建设单位签订分标段施工承包合同的建筑业企业，其完成的工作量不满足上述要求，但超过</w:t>
      </w:r>
      <w:r w:rsidR="00D2496F" w:rsidRPr="002C75B3">
        <w:rPr>
          <w:rFonts w:eastAsia="仿宋_GB2312" w:hint="eastAsia"/>
          <w:color w:val="000000" w:themeColor="text1"/>
          <w:sz w:val="32"/>
          <w:szCs w:val="32"/>
        </w:rPr>
        <w:t>5000</w:t>
      </w:r>
      <w:r w:rsidR="001A246A" w:rsidRPr="002C75B3">
        <w:rPr>
          <w:rFonts w:eastAsia="仿宋_GB2312" w:hint="eastAsia"/>
          <w:color w:val="000000" w:themeColor="text1"/>
          <w:sz w:val="32"/>
          <w:szCs w:val="32"/>
        </w:rPr>
        <w:t>万</w:t>
      </w:r>
      <w:r w:rsidR="0050578B" w:rsidRPr="002C75B3">
        <w:rPr>
          <w:rFonts w:eastAsia="仿宋_GB2312"/>
          <w:color w:val="000000" w:themeColor="text1"/>
          <w:sz w:val="32"/>
          <w:szCs w:val="32"/>
        </w:rPr>
        <w:t>元的，可申报参建单位。</w:t>
      </w:r>
      <w:r w:rsidR="00BC630F" w:rsidRPr="002C75B3">
        <w:rPr>
          <w:rFonts w:eastAsia="仿宋_GB2312" w:hint="eastAsia"/>
          <w:color w:val="000000" w:themeColor="text1"/>
          <w:sz w:val="32"/>
          <w:szCs w:val="32"/>
        </w:rPr>
        <w:t>鼓励</w:t>
      </w:r>
      <w:r w:rsidR="00F745F2" w:rsidRPr="002C75B3">
        <w:rPr>
          <w:rFonts w:eastAsia="仿宋_GB2312" w:hint="eastAsia"/>
          <w:color w:val="000000" w:themeColor="text1"/>
          <w:sz w:val="32"/>
          <w:szCs w:val="32"/>
        </w:rPr>
        <w:t>轨道交通、</w:t>
      </w:r>
      <w:r w:rsidR="00BC630F" w:rsidRPr="002C75B3">
        <w:rPr>
          <w:rFonts w:eastAsia="仿宋_GB2312" w:hint="eastAsia"/>
          <w:color w:val="000000" w:themeColor="text1"/>
          <w:sz w:val="32"/>
          <w:szCs w:val="32"/>
        </w:rPr>
        <w:t>高架道路等工程</w:t>
      </w:r>
      <w:r w:rsidR="0050578B" w:rsidRPr="002C75B3">
        <w:rPr>
          <w:rFonts w:eastAsia="仿宋_GB2312" w:hint="eastAsia"/>
          <w:color w:val="000000" w:themeColor="text1"/>
          <w:sz w:val="32"/>
          <w:szCs w:val="32"/>
        </w:rPr>
        <w:t>的建设单位作为主申报单位。</w:t>
      </w:r>
    </w:p>
    <w:p w:rsidR="008724F9" w:rsidRDefault="006808CC" w:rsidP="00797A24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C75B3">
        <w:rPr>
          <w:rFonts w:eastAsia="仿宋_GB2312" w:hint="eastAsia"/>
          <w:color w:val="000000" w:themeColor="text1"/>
          <w:sz w:val="32"/>
          <w:szCs w:val="32"/>
        </w:rPr>
        <w:t>五、</w:t>
      </w:r>
      <w:r w:rsidR="00F153FB" w:rsidRPr="002C75B3">
        <w:rPr>
          <w:rFonts w:eastAsia="仿宋_GB2312"/>
          <w:color w:val="000000" w:themeColor="text1"/>
          <w:sz w:val="32"/>
          <w:szCs w:val="32"/>
        </w:rPr>
        <w:t>对于已经获得钱江杯称号的工程，若发现</w:t>
      </w:r>
      <w:r w:rsidR="00F2562F" w:rsidRPr="002C75B3">
        <w:rPr>
          <w:rFonts w:eastAsia="仿宋_GB2312" w:hint="eastAsia"/>
          <w:color w:val="000000" w:themeColor="text1"/>
          <w:sz w:val="32"/>
          <w:szCs w:val="32"/>
        </w:rPr>
        <w:t>不符合钱江杯认定细则或出现</w:t>
      </w:r>
      <w:r w:rsidR="00151BD9" w:rsidRPr="002C75B3">
        <w:rPr>
          <w:rFonts w:eastAsia="仿宋_GB2312" w:hint="eastAsia"/>
          <w:color w:val="000000" w:themeColor="text1"/>
          <w:sz w:val="32"/>
          <w:szCs w:val="32"/>
        </w:rPr>
        <w:t>异常</w:t>
      </w:r>
      <w:r w:rsidR="00415ED3" w:rsidRPr="002C75B3">
        <w:rPr>
          <w:rFonts w:eastAsia="仿宋_GB2312" w:hint="eastAsia"/>
          <w:color w:val="000000" w:themeColor="text1"/>
          <w:sz w:val="32"/>
          <w:szCs w:val="32"/>
        </w:rPr>
        <w:t>不均匀沉降、结构性开裂、严重影响使用功能等</w:t>
      </w:r>
      <w:r w:rsidR="00F153FB" w:rsidRPr="002C75B3">
        <w:rPr>
          <w:rFonts w:eastAsia="仿宋_GB2312"/>
          <w:color w:val="000000" w:themeColor="text1"/>
          <w:sz w:val="32"/>
          <w:szCs w:val="32"/>
        </w:rPr>
        <w:t>质量问题或发生严重违法、违纪、违规行为等情形，钱江杯认定办公室应会同推荐单位进行调查核实，一经核实，取消该工程钱江杯称号，对申报企业予以通报，三年内不接受该企业再次申报。同时，视情减少推荐单位下一年推荐数量。</w:t>
      </w:r>
    </w:p>
    <w:p w:rsidR="001D1EA3" w:rsidRPr="001D1EA3" w:rsidRDefault="001D1EA3" w:rsidP="00797A24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30161">
        <w:rPr>
          <w:rFonts w:eastAsia="仿宋_GB2312" w:hint="eastAsia"/>
          <w:color w:val="000000" w:themeColor="text1"/>
          <w:sz w:val="32"/>
          <w:szCs w:val="32"/>
        </w:rPr>
        <w:t>六、园林工程、农村用房工程还需分别符合附件</w:t>
      </w:r>
      <w:r w:rsidRPr="00230161">
        <w:rPr>
          <w:rFonts w:eastAsia="仿宋_GB2312"/>
          <w:color w:val="000000" w:themeColor="text1"/>
          <w:sz w:val="32"/>
          <w:szCs w:val="32"/>
        </w:rPr>
        <w:t>9</w:t>
      </w:r>
      <w:r w:rsidRPr="00230161">
        <w:rPr>
          <w:rFonts w:eastAsia="仿宋_GB2312" w:hint="eastAsia"/>
          <w:color w:val="000000" w:themeColor="text1"/>
          <w:sz w:val="32"/>
          <w:szCs w:val="32"/>
        </w:rPr>
        <w:t>、附件</w:t>
      </w:r>
      <w:r w:rsidRPr="00230161">
        <w:rPr>
          <w:rFonts w:eastAsia="仿宋_GB2312"/>
          <w:color w:val="000000" w:themeColor="text1"/>
          <w:sz w:val="32"/>
          <w:szCs w:val="32"/>
        </w:rPr>
        <w:t>10</w:t>
      </w:r>
      <w:r w:rsidR="00725D59">
        <w:rPr>
          <w:rFonts w:eastAsia="仿宋_GB2312" w:hint="eastAsia"/>
          <w:color w:val="000000" w:themeColor="text1"/>
          <w:sz w:val="32"/>
          <w:szCs w:val="32"/>
        </w:rPr>
        <w:t>规定的</w:t>
      </w:r>
      <w:r w:rsidR="00797A24">
        <w:rPr>
          <w:rFonts w:eastAsia="仿宋_GB2312" w:hint="eastAsia"/>
          <w:color w:val="000000" w:themeColor="text1"/>
          <w:sz w:val="32"/>
          <w:szCs w:val="32"/>
        </w:rPr>
        <w:t>条件</w:t>
      </w:r>
      <w:r w:rsidRPr="00230161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7E789C" w:rsidRPr="002C75B3" w:rsidRDefault="00064397" w:rsidP="00797A24">
      <w:pPr>
        <w:spacing w:line="660" w:lineRule="exact"/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230161">
        <w:rPr>
          <w:rFonts w:eastAsia="仿宋_GB2312" w:hint="eastAsia"/>
          <w:color w:val="000000" w:themeColor="text1"/>
          <w:sz w:val="32"/>
          <w:szCs w:val="32"/>
        </w:rPr>
        <w:t>七</w:t>
      </w:r>
      <w:r w:rsidR="00F153FB" w:rsidRPr="00230161">
        <w:rPr>
          <w:rFonts w:eastAsia="仿宋_GB2312" w:hint="eastAsia"/>
          <w:color w:val="000000" w:themeColor="text1"/>
          <w:sz w:val="32"/>
          <w:szCs w:val="32"/>
        </w:rPr>
        <w:t>、</w:t>
      </w:r>
      <w:r w:rsidR="00297DD1" w:rsidRPr="002C75B3">
        <w:rPr>
          <w:rFonts w:eastAsia="仿宋_GB2312" w:hint="eastAsia"/>
          <w:color w:val="000000" w:themeColor="text1"/>
          <w:sz w:val="32"/>
          <w:szCs w:val="32"/>
        </w:rPr>
        <w:t>本认定细则适用于</w:t>
      </w:r>
      <w:r w:rsidR="00BC73A2" w:rsidRPr="002C75B3">
        <w:rPr>
          <w:rFonts w:eastAsia="仿宋_GB2312" w:hint="eastAsia"/>
          <w:color w:val="000000" w:themeColor="text1"/>
          <w:sz w:val="32"/>
          <w:szCs w:val="32"/>
        </w:rPr>
        <w:t>2020</w:t>
      </w:r>
      <w:r w:rsidR="00297DD1" w:rsidRPr="002C75B3">
        <w:rPr>
          <w:rFonts w:eastAsia="仿宋_GB2312" w:hint="eastAsia"/>
          <w:color w:val="000000" w:themeColor="text1"/>
          <w:sz w:val="32"/>
          <w:szCs w:val="32"/>
        </w:rPr>
        <w:t>年度浙江省建设工程钱江杯奖（优质工程）</w:t>
      </w:r>
      <w:r w:rsidR="006C5B8D" w:rsidRPr="002C75B3">
        <w:rPr>
          <w:rFonts w:eastAsia="仿宋_GB2312" w:hint="eastAsia"/>
          <w:color w:val="000000" w:themeColor="text1"/>
          <w:sz w:val="32"/>
          <w:szCs w:val="32"/>
        </w:rPr>
        <w:t>考核</w:t>
      </w:r>
      <w:r w:rsidR="00297DD1" w:rsidRPr="002C75B3">
        <w:rPr>
          <w:rFonts w:eastAsia="仿宋_GB2312" w:hint="eastAsia"/>
          <w:color w:val="000000" w:themeColor="text1"/>
          <w:sz w:val="32"/>
          <w:szCs w:val="32"/>
        </w:rPr>
        <w:t>认定工作。</w:t>
      </w:r>
    </w:p>
    <w:sectPr w:rsidR="007E789C" w:rsidRPr="002C75B3" w:rsidSect="009C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644" w:bottom="1644" w:left="1644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3F" w:rsidRDefault="001D793F" w:rsidP="00F153FB">
      <w:pPr>
        <w:ind w:firstLine="640"/>
      </w:pPr>
      <w:r>
        <w:separator/>
      </w:r>
    </w:p>
  </w:endnote>
  <w:endnote w:type="continuationSeparator" w:id="0">
    <w:p w:rsidR="001D793F" w:rsidRDefault="001D793F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EF2C14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8371F2" w:rsidRPr="008371F2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3F" w:rsidRDefault="001D793F" w:rsidP="00F153FB">
      <w:pPr>
        <w:ind w:firstLine="640"/>
      </w:pPr>
      <w:r>
        <w:separator/>
      </w:r>
    </w:p>
  </w:footnote>
  <w:footnote w:type="continuationSeparator" w:id="0">
    <w:p w:rsidR="001D793F" w:rsidRDefault="001D793F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D2F"/>
    <w:rsid w:val="00064397"/>
    <w:rsid w:val="00066890"/>
    <w:rsid w:val="000679CD"/>
    <w:rsid w:val="0007425C"/>
    <w:rsid w:val="00074274"/>
    <w:rsid w:val="00075359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87B1C"/>
    <w:rsid w:val="000907B5"/>
    <w:rsid w:val="00090BC9"/>
    <w:rsid w:val="00091241"/>
    <w:rsid w:val="00091C0B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B7AD3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33CA"/>
    <w:rsid w:val="000E5231"/>
    <w:rsid w:val="000E565A"/>
    <w:rsid w:val="000E5B4F"/>
    <w:rsid w:val="000E60D5"/>
    <w:rsid w:val="000E65A5"/>
    <w:rsid w:val="000E6AB9"/>
    <w:rsid w:val="000E70B8"/>
    <w:rsid w:val="000E7423"/>
    <w:rsid w:val="000E7D93"/>
    <w:rsid w:val="000F16E1"/>
    <w:rsid w:val="000F2FDE"/>
    <w:rsid w:val="000F4118"/>
    <w:rsid w:val="000F4DA5"/>
    <w:rsid w:val="000F4E17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1EB7"/>
    <w:rsid w:val="00134653"/>
    <w:rsid w:val="00134D8B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4178"/>
    <w:rsid w:val="001558CB"/>
    <w:rsid w:val="00155E8E"/>
    <w:rsid w:val="00157EB0"/>
    <w:rsid w:val="001610AC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C76"/>
    <w:rsid w:val="00181509"/>
    <w:rsid w:val="00182390"/>
    <w:rsid w:val="001825DF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1EA3"/>
    <w:rsid w:val="001D224F"/>
    <w:rsid w:val="001D22B5"/>
    <w:rsid w:val="001D54CC"/>
    <w:rsid w:val="001D793F"/>
    <w:rsid w:val="001E12B5"/>
    <w:rsid w:val="001E1424"/>
    <w:rsid w:val="001E2304"/>
    <w:rsid w:val="001E405A"/>
    <w:rsid w:val="001E5F70"/>
    <w:rsid w:val="001E62CE"/>
    <w:rsid w:val="001E64DD"/>
    <w:rsid w:val="001E65D9"/>
    <w:rsid w:val="001E6BAE"/>
    <w:rsid w:val="001F20C9"/>
    <w:rsid w:val="001F2E81"/>
    <w:rsid w:val="001F5FA9"/>
    <w:rsid w:val="00200A6E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189C"/>
    <w:rsid w:val="002231FE"/>
    <w:rsid w:val="00224727"/>
    <w:rsid w:val="00224B0A"/>
    <w:rsid w:val="00224FEE"/>
    <w:rsid w:val="0022548D"/>
    <w:rsid w:val="0022589C"/>
    <w:rsid w:val="00230161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C8D"/>
    <w:rsid w:val="00255F74"/>
    <w:rsid w:val="00256653"/>
    <w:rsid w:val="00257E7B"/>
    <w:rsid w:val="00265006"/>
    <w:rsid w:val="0027078B"/>
    <w:rsid w:val="00273F2B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062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478"/>
    <w:rsid w:val="002C75B3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57AB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8AE"/>
    <w:rsid w:val="0035496E"/>
    <w:rsid w:val="003557BA"/>
    <w:rsid w:val="00356984"/>
    <w:rsid w:val="00360CC6"/>
    <w:rsid w:val="00361DFA"/>
    <w:rsid w:val="003640A6"/>
    <w:rsid w:val="003647D3"/>
    <w:rsid w:val="00364E65"/>
    <w:rsid w:val="0036564B"/>
    <w:rsid w:val="00366BB8"/>
    <w:rsid w:val="00367318"/>
    <w:rsid w:val="00367CDE"/>
    <w:rsid w:val="003700AC"/>
    <w:rsid w:val="00372C97"/>
    <w:rsid w:val="00372CDA"/>
    <w:rsid w:val="0037306A"/>
    <w:rsid w:val="00373E38"/>
    <w:rsid w:val="00375057"/>
    <w:rsid w:val="00381185"/>
    <w:rsid w:val="0038148F"/>
    <w:rsid w:val="0038244B"/>
    <w:rsid w:val="003824F8"/>
    <w:rsid w:val="003833D3"/>
    <w:rsid w:val="003858DD"/>
    <w:rsid w:val="00386ADF"/>
    <w:rsid w:val="0038709E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D92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3C08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E9"/>
    <w:rsid w:val="00447F5A"/>
    <w:rsid w:val="0045000E"/>
    <w:rsid w:val="004518AE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4E3F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111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F05D7"/>
    <w:rsid w:val="004F0A37"/>
    <w:rsid w:val="004F0F52"/>
    <w:rsid w:val="004F2D48"/>
    <w:rsid w:val="004F3D7F"/>
    <w:rsid w:val="004F6F1E"/>
    <w:rsid w:val="0050175E"/>
    <w:rsid w:val="00501901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63DD"/>
    <w:rsid w:val="00516D34"/>
    <w:rsid w:val="00516E3C"/>
    <w:rsid w:val="005212E0"/>
    <w:rsid w:val="005216D5"/>
    <w:rsid w:val="00522443"/>
    <w:rsid w:val="00522F17"/>
    <w:rsid w:val="00524F6B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402FD"/>
    <w:rsid w:val="0054092D"/>
    <w:rsid w:val="00544778"/>
    <w:rsid w:val="00545229"/>
    <w:rsid w:val="00546DF9"/>
    <w:rsid w:val="00547944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D49"/>
    <w:rsid w:val="00577F62"/>
    <w:rsid w:val="005819CA"/>
    <w:rsid w:val="00582174"/>
    <w:rsid w:val="005823C8"/>
    <w:rsid w:val="00582763"/>
    <w:rsid w:val="00585E68"/>
    <w:rsid w:val="00590C1F"/>
    <w:rsid w:val="00592234"/>
    <w:rsid w:val="00593FFB"/>
    <w:rsid w:val="00594C54"/>
    <w:rsid w:val="0059555D"/>
    <w:rsid w:val="00596BE8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6745"/>
    <w:rsid w:val="0061762B"/>
    <w:rsid w:val="00617797"/>
    <w:rsid w:val="00617DBF"/>
    <w:rsid w:val="0062005F"/>
    <w:rsid w:val="00620584"/>
    <w:rsid w:val="006221FF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301E"/>
    <w:rsid w:val="006536CE"/>
    <w:rsid w:val="006537D9"/>
    <w:rsid w:val="0065395E"/>
    <w:rsid w:val="006550A8"/>
    <w:rsid w:val="00656D08"/>
    <w:rsid w:val="00657064"/>
    <w:rsid w:val="0066200D"/>
    <w:rsid w:val="00662BBD"/>
    <w:rsid w:val="00662F0B"/>
    <w:rsid w:val="006630D8"/>
    <w:rsid w:val="00663BF5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1C4"/>
    <w:rsid w:val="0068297E"/>
    <w:rsid w:val="00683488"/>
    <w:rsid w:val="00684AC2"/>
    <w:rsid w:val="00684CDB"/>
    <w:rsid w:val="006855A7"/>
    <w:rsid w:val="00686CBD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51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5B8D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7F7E"/>
    <w:rsid w:val="006F0E20"/>
    <w:rsid w:val="006F21AB"/>
    <w:rsid w:val="006F221D"/>
    <w:rsid w:val="006F3BDA"/>
    <w:rsid w:val="006F76CC"/>
    <w:rsid w:val="00700727"/>
    <w:rsid w:val="0070111F"/>
    <w:rsid w:val="00703584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1068"/>
    <w:rsid w:val="00722A0C"/>
    <w:rsid w:val="00723F42"/>
    <w:rsid w:val="007244C3"/>
    <w:rsid w:val="00725D59"/>
    <w:rsid w:val="00725D8B"/>
    <w:rsid w:val="007272BF"/>
    <w:rsid w:val="007276A8"/>
    <w:rsid w:val="0073231F"/>
    <w:rsid w:val="00732CB5"/>
    <w:rsid w:val="0073306D"/>
    <w:rsid w:val="007352B7"/>
    <w:rsid w:val="007355DB"/>
    <w:rsid w:val="00736596"/>
    <w:rsid w:val="00737554"/>
    <w:rsid w:val="007405F3"/>
    <w:rsid w:val="007411E6"/>
    <w:rsid w:val="00742441"/>
    <w:rsid w:val="00742C9B"/>
    <w:rsid w:val="00742E94"/>
    <w:rsid w:val="00745B5B"/>
    <w:rsid w:val="00745B88"/>
    <w:rsid w:val="0074779F"/>
    <w:rsid w:val="00747DEF"/>
    <w:rsid w:val="00750DCD"/>
    <w:rsid w:val="007557AE"/>
    <w:rsid w:val="00756052"/>
    <w:rsid w:val="00756AE0"/>
    <w:rsid w:val="0075745E"/>
    <w:rsid w:val="00757B54"/>
    <w:rsid w:val="00761AA0"/>
    <w:rsid w:val="0076247D"/>
    <w:rsid w:val="00763892"/>
    <w:rsid w:val="00764391"/>
    <w:rsid w:val="0077129D"/>
    <w:rsid w:val="007748AE"/>
    <w:rsid w:val="0078173F"/>
    <w:rsid w:val="007818DD"/>
    <w:rsid w:val="0078294C"/>
    <w:rsid w:val="00783054"/>
    <w:rsid w:val="0078325C"/>
    <w:rsid w:val="00786193"/>
    <w:rsid w:val="007864D8"/>
    <w:rsid w:val="007914BE"/>
    <w:rsid w:val="007927E8"/>
    <w:rsid w:val="00793FA8"/>
    <w:rsid w:val="00794D30"/>
    <w:rsid w:val="007953DF"/>
    <w:rsid w:val="00795B0B"/>
    <w:rsid w:val="0079608E"/>
    <w:rsid w:val="00796BE0"/>
    <w:rsid w:val="00796F55"/>
    <w:rsid w:val="007971BA"/>
    <w:rsid w:val="00797A24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29C0"/>
    <w:rsid w:val="007C3497"/>
    <w:rsid w:val="007C49AF"/>
    <w:rsid w:val="007C6821"/>
    <w:rsid w:val="007C7B91"/>
    <w:rsid w:val="007C7FFB"/>
    <w:rsid w:val="007D19A7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800DAF"/>
    <w:rsid w:val="00805C5D"/>
    <w:rsid w:val="00812FF2"/>
    <w:rsid w:val="008139FB"/>
    <w:rsid w:val="00814582"/>
    <w:rsid w:val="00815E93"/>
    <w:rsid w:val="008223C4"/>
    <w:rsid w:val="008235DB"/>
    <w:rsid w:val="0083037D"/>
    <w:rsid w:val="00830BB8"/>
    <w:rsid w:val="00831113"/>
    <w:rsid w:val="0083219A"/>
    <w:rsid w:val="00832703"/>
    <w:rsid w:val="00834518"/>
    <w:rsid w:val="008353BF"/>
    <w:rsid w:val="00835A06"/>
    <w:rsid w:val="008360BB"/>
    <w:rsid w:val="0083682E"/>
    <w:rsid w:val="00836BBD"/>
    <w:rsid w:val="008371F2"/>
    <w:rsid w:val="0083744F"/>
    <w:rsid w:val="0084042E"/>
    <w:rsid w:val="00843B7A"/>
    <w:rsid w:val="00843CE9"/>
    <w:rsid w:val="00845146"/>
    <w:rsid w:val="00845B34"/>
    <w:rsid w:val="00847073"/>
    <w:rsid w:val="008476EA"/>
    <w:rsid w:val="00851B76"/>
    <w:rsid w:val="008537C9"/>
    <w:rsid w:val="00853AE8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CBF"/>
    <w:rsid w:val="008A6451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5BEB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6165"/>
    <w:rsid w:val="008F0E68"/>
    <w:rsid w:val="008F3015"/>
    <w:rsid w:val="008F3EF0"/>
    <w:rsid w:val="008F405B"/>
    <w:rsid w:val="008F651D"/>
    <w:rsid w:val="008F77C2"/>
    <w:rsid w:val="00900A38"/>
    <w:rsid w:val="00904FEC"/>
    <w:rsid w:val="00906F2F"/>
    <w:rsid w:val="00910527"/>
    <w:rsid w:val="00910F2B"/>
    <w:rsid w:val="0091501A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6181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499F"/>
    <w:rsid w:val="009E5472"/>
    <w:rsid w:val="009E5ABA"/>
    <w:rsid w:val="009E7937"/>
    <w:rsid w:val="009F0FF7"/>
    <w:rsid w:val="009F106E"/>
    <w:rsid w:val="009F2D97"/>
    <w:rsid w:val="009F30D3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39F7"/>
    <w:rsid w:val="00A2625E"/>
    <w:rsid w:val="00A32EBB"/>
    <w:rsid w:val="00A33870"/>
    <w:rsid w:val="00A34998"/>
    <w:rsid w:val="00A34DB3"/>
    <w:rsid w:val="00A3585B"/>
    <w:rsid w:val="00A3676B"/>
    <w:rsid w:val="00A373D8"/>
    <w:rsid w:val="00A4013B"/>
    <w:rsid w:val="00A41721"/>
    <w:rsid w:val="00A41767"/>
    <w:rsid w:val="00A419EC"/>
    <w:rsid w:val="00A41FFC"/>
    <w:rsid w:val="00A422A8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170F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345B"/>
    <w:rsid w:val="00A9383B"/>
    <w:rsid w:val="00A9703D"/>
    <w:rsid w:val="00AA0117"/>
    <w:rsid w:val="00AA1E87"/>
    <w:rsid w:val="00AA67FF"/>
    <w:rsid w:val="00AA6F59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158D"/>
    <w:rsid w:val="00AC35DA"/>
    <w:rsid w:val="00AC3D06"/>
    <w:rsid w:val="00AC5A2F"/>
    <w:rsid w:val="00AC5A9F"/>
    <w:rsid w:val="00AC68EA"/>
    <w:rsid w:val="00AD05EC"/>
    <w:rsid w:val="00AD082E"/>
    <w:rsid w:val="00AD183C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7092"/>
    <w:rsid w:val="00BC114E"/>
    <w:rsid w:val="00BC1185"/>
    <w:rsid w:val="00BC15F5"/>
    <w:rsid w:val="00BC5DA8"/>
    <w:rsid w:val="00BC630F"/>
    <w:rsid w:val="00BC73A2"/>
    <w:rsid w:val="00BD0CBE"/>
    <w:rsid w:val="00BD0D5F"/>
    <w:rsid w:val="00BD195E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70"/>
    <w:rsid w:val="00C52C3E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02F6"/>
    <w:rsid w:val="00C952D6"/>
    <w:rsid w:val="00C96021"/>
    <w:rsid w:val="00CA04CB"/>
    <w:rsid w:val="00CA3378"/>
    <w:rsid w:val="00CA466F"/>
    <w:rsid w:val="00CA4A73"/>
    <w:rsid w:val="00CA6171"/>
    <w:rsid w:val="00CB2254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FF4"/>
    <w:rsid w:val="00D036D2"/>
    <w:rsid w:val="00D03F9B"/>
    <w:rsid w:val="00D05EF6"/>
    <w:rsid w:val="00D05FCD"/>
    <w:rsid w:val="00D07317"/>
    <w:rsid w:val="00D12EF2"/>
    <w:rsid w:val="00D14397"/>
    <w:rsid w:val="00D16C9F"/>
    <w:rsid w:val="00D1768F"/>
    <w:rsid w:val="00D20027"/>
    <w:rsid w:val="00D23E48"/>
    <w:rsid w:val="00D2496F"/>
    <w:rsid w:val="00D2682B"/>
    <w:rsid w:val="00D34AF8"/>
    <w:rsid w:val="00D36276"/>
    <w:rsid w:val="00D37D09"/>
    <w:rsid w:val="00D42CEC"/>
    <w:rsid w:val="00D42D06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52FE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B6FA2"/>
    <w:rsid w:val="00DC3766"/>
    <w:rsid w:val="00DD101E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D7CF6"/>
    <w:rsid w:val="00DE0D59"/>
    <w:rsid w:val="00DE1C88"/>
    <w:rsid w:val="00DE2380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627"/>
    <w:rsid w:val="00E63C3B"/>
    <w:rsid w:val="00E6765D"/>
    <w:rsid w:val="00E67958"/>
    <w:rsid w:val="00E67B42"/>
    <w:rsid w:val="00E7035B"/>
    <w:rsid w:val="00E7086D"/>
    <w:rsid w:val="00E726E9"/>
    <w:rsid w:val="00E749D4"/>
    <w:rsid w:val="00E752E6"/>
    <w:rsid w:val="00E75EC1"/>
    <w:rsid w:val="00E761C4"/>
    <w:rsid w:val="00E7788C"/>
    <w:rsid w:val="00E80038"/>
    <w:rsid w:val="00E80BD5"/>
    <w:rsid w:val="00E80C12"/>
    <w:rsid w:val="00E8434B"/>
    <w:rsid w:val="00E86A4F"/>
    <w:rsid w:val="00E90261"/>
    <w:rsid w:val="00E91151"/>
    <w:rsid w:val="00E917FC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4B77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2C14"/>
    <w:rsid w:val="00EF3121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2F4A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7753D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E8D"/>
    <w:rsid w:val="00FB27D4"/>
    <w:rsid w:val="00FB2EFC"/>
    <w:rsid w:val="00FB3609"/>
    <w:rsid w:val="00FB3A33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99D9-FA1F-4BDD-8234-9E8C07B7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2955</Characters>
  <Application>Microsoft Office Word</Application>
  <DocSecurity>0</DocSecurity>
  <Lines>132</Lines>
  <Paragraphs>51</Paragraphs>
  <ScaleCrop>false</ScaleCrop>
  <Company>浙江省监狱中心医院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1</cp:revision>
  <cp:lastPrinted>2020-06-03T00:53:00Z</cp:lastPrinted>
  <dcterms:created xsi:type="dcterms:W3CDTF">2020-06-09T04:43:00Z</dcterms:created>
  <dcterms:modified xsi:type="dcterms:W3CDTF">2020-06-09T04:43:00Z</dcterms:modified>
</cp:coreProperties>
</file>