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t>附件</w:t>
      </w:r>
    </w:p>
    <w:p>
      <w:pPr>
        <w:rPr>
          <w:rFonts w:hint="eastAsia"/>
          <w:sz w:val="32"/>
          <w:szCs w:val="32"/>
        </w:rPr>
      </w:pPr>
    </w:p>
    <w:p>
      <w:pPr>
        <w:jc w:val="center"/>
        <w:rPr>
          <w:rFonts w:hint="eastAsia" w:eastAsia="方正小标宋简体"/>
          <w:sz w:val="44"/>
          <w:szCs w:val="44"/>
        </w:rPr>
      </w:pPr>
      <w:r>
        <w:rPr>
          <w:rFonts w:hint="eastAsia" w:eastAsia="方正小标宋简体"/>
          <w:sz w:val="44"/>
          <w:szCs w:val="44"/>
        </w:rPr>
        <w:t>关于调整房屋建筑和市政基础设施工程</w:t>
      </w:r>
    </w:p>
    <w:p>
      <w:pPr>
        <w:jc w:val="center"/>
        <w:rPr>
          <w:rFonts w:hint="eastAsia" w:eastAsia="方正小标宋简体"/>
          <w:sz w:val="44"/>
          <w:szCs w:val="44"/>
        </w:rPr>
      </w:pPr>
      <w:r>
        <w:rPr>
          <w:rFonts w:hint="eastAsia" w:eastAsia="方正小标宋简体"/>
          <w:sz w:val="44"/>
          <w:szCs w:val="44"/>
        </w:rPr>
        <w:t>施工许可证办理限额的通知</w:t>
      </w:r>
    </w:p>
    <w:p>
      <w:pPr>
        <w:jc w:val="center"/>
        <w:rPr>
          <w:rFonts w:hint="eastAsia" w:eastAsia="方正小标宋简体"/>
          <w:sz w:val="44"/>
          <w:szCs w:val="44"/>
        </w:rPr>
      </w:pPr>
      <w:r>
        <w:rPr>
          <w:rFonts w:hint="eastAsia" w:eastAsia="方正小标宋简体"/>
          <w:sz w:val="44"/>
          <w:szCs w:val="44"/>
        </w:rPr>
        <w:t>（征求意</w:t>
      </w:r>
      <w:bookmarkStart w:id="0" w:name="_GoBack"/>
      <w:bookmarkEnd w:id="0"/>
      <w:r>
        <w:rPr>
          <w:rFonts w:hint="eastAsia" w:eastAsia="方正小标宋简体"/>
          <w:sz w:val="44"/>
          <w:szCs w:val="44"/>
        </w:rPr>
        <w:t>见稿）</w:t>
      </w:r>
    </w:p>
    <w:p>
      <w:pPr>
        <w:jc w:val="center"/>
        <w:rPr>
          <w:rFonts w:eastAsia="仿宋"/>
          <w:sz w:val="32"/>
        </w:rPr>
      </w:pPr>
    </w:p>
    <w:p>
      <w:pPr>
        <w:ind w:firstLine="640" w:firstLineChars="200"/>
        <w:rPr>
          <w:sz w:val="32"/>
          <w:szCs w:val="32"/>
        </w:rPr>
      </w:pPr>
      <w:r>
        <w:rPr>
          <w:rFonts w:hint="eastAsia"/>
          <w:sz w:val="32"/>
          <w:szCs w:val="32"/>
        </w:rPr>
        <w:t>为进一步优化营商环境，提高建筑工程建设项目审批效率，有效激发市场活力，根据《建筑工程施工许可管理办法》规定和《</w:t>
      </w:r>
      <w:r>
        <w:rPr>
          <w:sz w:val="32"/>
          <w:szCs w:val="32"/>
        </w:rPr>
        <w:t>住房和城乡建设部办公厅关于浙江省调整房屋建筑和市政基础设施工程施工许可证办理限额意见的函</w:t>
      </w:r>
      <w:r>
        <w:rPr>
          <w:rFonts w:hint="eastAsia"/>
          <w:sz w:val="32"/>
          <w:szCs w:val="32"/>
        </w:rPr>
        <w:t>》</w:t>
      </w:r>
      <w:r>
        <w:rPr>
          <w:sz w:val="32"/>
          <w:szCs w:val="32"/>
        </w:rPr>
        <w:t>（建办市函</w:t>
      </w:r>
      <w:r>
        <w:rPr>
          <w:rFonts w:hint="eastAsia"/>
          <w:sz w:val="32"/>
          <w:szCs w:val="32"/>
        </w:rPr>
        <w:t>〔</w:t>
      </w:r>
      <w:r>
        <w:rPr>
          <w:sz w:val="32"/>
          <w:szCs w:val="32"/>
        </w:rPr>
        <w:t>20</w:t>
      </w:r>
      <w:r>
        <w:rPr>
          <w:rFonts w:hint="eastAsia"/>
          <w:sz w:val="32"/>
          <w:szCs w:val="32"/>
        </w:rPr>
        <w:t>20</w:t>
      </w:r>
      <w:r>
        <w:rPr>
          <w:sz w:val="32"/>
          <w:szCs w:val="32"/>
        </w:rPr>
        <w:t>〕432号）</w:t>
      </w:r>
      <w:r>
        <w:rPr>
          <w:rFonts w:hint="eastAsia"/>
          <w:sz w:val="32"/>
          <w:szCs w:val="32"/>
        </w:rPr>
        <w:t>意见</w:t>
      </w:r>
      <w:r>
        <w:rPr>
          <w:sz w:val="32"/>
          <w:szCs w:val="32"/>
        </w:rPr>
        <w:t>，</w:t>
      </w:r>
      <w:r>
        <w:rPr>
          <w:rFonts w:hint="eastAsia"/>
          <w:sz w:val="32"/>
          <w:szCs w:val="32"/>
        </w:rPr>
        <w:t>结合我省实际，</w:t>
      </w:r>
      <w:r>
        <w:rPr>
          <w:sz w:val="32"/>
          <w:szCs w:val="32"/>
        </w:rPr>
        <w:t>现对我省办理施工许可的房屋建筑和市政基础设施工程限额作出调整，具体如下：</w:t>
      </w:r>
    </w:p>
    <w:p>
      <w:pPr>
        <w:numPr>
          <w:ilvl w:val="0"/>
          <w:numId w:val="1"/>
        </w:numPr>
        <w:ind w:firstLine="640" w:firstLineChars="200"/>
        <w:rPr>
          <w:sz w:val="32"/>
          <w:szCs w:val="32"/>
        </w:rPr>
      </w:pPr>
      <w:r>
        <w:rPr>
          <w:rFonts w:hint="eastAsia"/>
          <w:sz w:val="32"/>
          <w:szCs w:val="32"/>
        </w:rPr>
        <w:t>工程投资额在</w:t>
      </w:r>
      <w:r>
        <w:rPr>
          <w:sz w:val="32"/>
          <w:szCs w:val="32"/>
        </w:rPr>
        <w:t>200万元以下（不含200万元）或者建筑面积在1000平方米以下（不含1000平方米）的房屋建筑和市政基础设施工程，可以不申请办理施工许可证（工程质量安全监督手续）（以下称限额以下小型工程）。</w:t>
      </w:r>
    </w:p>
    <w:p>
      <w:pPr>
        <w:numPr>
          <w:ilvl w:val="0"/>
          <w:numId w:val="1"/>
        </w:numPr>
        <w:ind w:firstLine="640" w:firstLineChars="200"/>
        <w:rPr>
          <w:sz w:val="32"/>
          <w:szCs w:val="32"/>
        </w:rPr>
      </w:pPr>
      <w:r>
        <w:rPr>
          <w:rFonts w:hint="eastAsia"/>
          <w:sz w:val="32"/>
          <w:szCs w:val="32"/>
        </w:rPr>
        <w:t>任何单位和个人不得将应当申请办理施工许可证的工程项目分解为若干限额以下的工程项目，规避申请办理施工许可证。应当申请领取施工许可证的工程项目未取得施工许可证的，一律不得开工。</w:t>
      </w:r>
    </w:p>
    <w:p>
      <w:pPr>
        <w:ind w:firstLine="640" w:firstLineChars="200"/>
        <w:rPr>
          <w:rFonts w:hint="eastAsia"/>
          <w:sz w:val="32"/>
          <w:szCs w:val="32"/>
        </w:rPr>
      </w:pPr>
      <w:r>
        <w:rPr>
          <w:rFonts w:hint="eastAsia"/>
          <w:sz w:val="32"/>
          <w:szCs w:val="32"/>
        </w:rPr>
        <w:t>三、建设单位要严格落实工程质量安全首要责任，加强对勘察、设计、施工和采购的质量安全过程控制和验收管理，保证合理工期和造价，不得以任何理由要求有关参建单位违反法律法规和工程建设强制性标准。</w:t>
      </w:r>
    </w:p>
    <w:p>
      <w:pPr>
        <w:ind w:firstLine="640" w:firstLineChars="200"/>
        <w:rPr>
          <w:sz w:val="32"/>
          <w:szCs w:val="32"/>
        </w:rPr>
      </w:pPr>
      <w:r>
        <w:rPr>
          <w:rFonts w:hint="eastAsia"/>
          <w:sz w:val="32"/>
          <w:szCs w:val="32"/>
        </w:rPr>
        <w:t>四、各级住房城乡建设主管部门</w:t>
      </w:r>
      <w:r>
        <w:rPr>
          <w:sz w:val="32"/>
          <w:szCs w:val="32"/>
        </w:rPr>
        <w:t>、城市管理</w:t>
      </w:r>
      <w:r>
        <w:rPr>
          <w:rFonts w:hint="eastAsia"/>
          <w:sz w:val="32"/>
          <w:szCs w:val="32"/>
        </w:rPr>
        <w:t>（综合行政执法）</w:t>
      </w:r>
      <w:r>
        <w:rPr>
          <w:sz w:val="32"/>
          <w:szCs w:val="32"/>
        </w:rPr>
        <w:t>部门</w:t>
      </w:r>
      <w:r>
        <w:rPr>
          <w:rFonts w:hint="eastAsia"/>
          <w:sz w:val="32"/>
          <w:szCs w:val="32"/>
        </w:rPr>
        <w:t>应联合镇（区）政府、街道办建立日常联动机制，加强对限额以下小型工程的管理，落实属地管理责任，完善相关制度和工作措施，督促项目建设的各方主体从严从实履行质量安全主体责任。要推动属地政府建立网格化管理机制，发挥乡镇、街道的日常巡查作用，确保限额以下建设工程的质量和施工安全。</w:t>
      </w:r>
    </w:p>
    <w:p>
      <w:pPr>
        <w:ind w:firstLine="640" w:firstLineChars="200"/>
        <w:rPr>
          <w:rFonts w:hint="eastAsia"/>
          <w:sz w:val="32"/>
          <w:szCs w:val="32"/>
        </w:rPr>
      </w:pPr>
      <w:r>
        <w:rPr>
          <w:rFonts w:hint="eastAsia"/>
          <w:sz w:val="32"/>
          <w:szCs w:val="32"/>
        </w:rPr>
        <w:t>五、本规定自</w:t>
      </w:r>
      <w:r>
        <w:rPr>
          <w:rFonts w:hint="eastAsia" w:ascii="宋体" w:hAnsi="宋体" w:cs="宋体"/>
          <w:color w:val="000000"/>
          <w:sz w:val="32"/>
          <w:szCs w:val="20"/>
        </w:rPr>
        <w:t>2020年  月  日起执行</w:t>
      </w:r>
      <w:r>
        <w:rPr>
          <w:rFonts w:hint="eastAsia"/>
          <w:sz w:val="32"/>
          <w:szCs w:val="32"/>
        </w:rPr>
        <w:t>。</w:t>
      </w: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
    <w:sectPr>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8D587"/>
    <w:multiLevelType w:val="singleLevel"/>
    <w:tmpl w:val="BFD8D58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70FAD"/>
    <w:rsid w:val="09770F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40" w:lineRule="exact"/>
      <w:jc w:val="both"/>
    </w:pPr>
    <w:rPr>
      <w:rFonts w:ascii="Times New Roman" w:hAnsi="Times New Roman" w:eastAsia="仿宋_GB2312"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2020-11-10T03:23:00Z</dcterms:created>
  <dc:creator>朱开心</dc:creator>
  <cp:lastModifiedBy>朱开心</cp:lastModifiedBy>
  <dcterms:modified xsi:type="dcterms:W3CDTF">2020-11-10T03:24:01Z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