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center"/>
        <w:rPr>
          <w:rFonts w:hint="eastAsia" w:ascii="宋体" w:hAnsi="宋体" w:cs="方正小标宋简体"/>
          <w:kern w:val="0"/>
          <w:sz w:val="36"/>
          <w:szCs w:val="36"/>
          <w:lang w:val="zh-CN"/>
        </w:rPr>
      </w:pPr>
      <w:r>
        <w:rPr>
          <w:rFonts w:hint="eastAsia" w:ascii="宋体" w:hAnsi="宋体" w:cs="方正小标宋简体"/>
          <w:kern w:val="0"/>
          <w:sz w:val="36"/>
          <w:szCs w:val="36"/>
          <w:lang w:val="zh-CN"/>
        </w:rPr>
        <w:t>关于在全省工程建设领域改革保证金制度的通知</w:t>
      </w:r>
    </w:p>
    <w:p>
      <w:pPr>
        <w:autoSpaceDE w:val="0"/>
        <w:autoSpaceDN w:val="0"/>
        <w:adjustRightInd w:val="0"/>
        <w:spacing w:line="600" w:lineRule="exact"/>
        <w:jc w:val="center"/>
        <w:rPr>
          <w:rFonts w:hint="eastAsia" w:ascii="宋体" w:hAnsi="宋体" w:cs="方正小标宋简体"/>
          <w:kern w:val="0"/>
          <w:sz w:val="36"/>
          <w:szCs w:val="36"/>
          <w:lang w:val="zh-CN"/>
        </w:rPr>
      </w:pPr>
      <w:bookmarkStart w:id="1" w:name="_GoBack"/>
      <w:bookmarkEnd w:id="1"/>
      <w:r>
        <w:rPr>
          <w:rFonts w:hint="eastAsia" w:ascii="宋体" w:hAnsi="宋体" w:cs="方正小标宋简体"/>
          <w:kern w:val="0"/>
          <w:sz w:val="36"/>
          <w:szCs w:val="36"/>
          <w:lang w:val="zh-CN"/>
        </w:rPr>
        <w:t>（征求意见稿）</w:t>
      </w:r>
    </w:p>
    <w:p>
      <w:pPr>
        <w:autoSpaceDE w:val="0"/>
        <w:autoSpaceDN w:val="0"/>
        <w:adjustRightInd w:val="0"/>
        <w:spacing w:line="600" w:lineRule="exact"/>
        <w:ind w:firstLine="640" w:firstLineChars="200"/>
        <w:rPr>
          <w:rFonts w:ascii="黑体" w:hAnsi="黑体" w:eastAsia="黑体" w:cs="黑体"/>
          <w:kern w:val="0"/>
          <w:sz w:val="32"/>
          <w:szCs w:val="32"/>
          <w:lang w:val="zh-CN"/>
        </w:rPr>
      </w:pPr>
    </w:p>
    <w:p>
      <w:pPr>
        <w:autoSpaceDE w:val="0"/>
        <w:autoSpaceDN w:val="0"/>
        <w:adjustRightInd w:val="0"/>
        <w:spacing w:line="600" w:lineRule="exact"/>
        <w:ind w:firstLine="640" w:firstLineChars="200"/>
        <w:rPr>
          <w:rFonts w:ascii="仿宋" w:hAnsi="仿宋" w:eastAsia="仿宋" w:cs="黑体"/>
          <w:kern w:val="0"/>
          <w:sz w:val="32"/>
          <w:szCs w:val="32"/>
          <w:lang w:val="zh-CN"/>
        </w:rPr>
      </w:pPr>
      <w:r>
        <w:rPr>
          <w:rFonts w:hint="eastAsia" w:ascii="仿宋" w:hAnsi="仿宋" w:eastAsia="仿宋" w:cs="黑体"/>
          <w:kern w:val="0"/>
          <w:sz w:val="32"/>
          <w:szCs w:val="32"/>
          <w:lang w:val="zh-CN"/>
        </w:rPr>
        <w:t>为贯彻中央</w:t>
      </w:r>
      <w:r>
        <w:rPr>
          <w:rFonts w:ascii="仿宋" w:hAnsi="仿宋" w:eastAsia="仿宋" w:cs="黑体"/>
          <w:kern w:val="0"/>
          <w:sz w:val="32"/>
          <w:szCs w:val="32"/>
          <w:lang w:val="zh-CN"/>
        </w:rPr>
        <w:t>“</w:t>
      </w:r>
      <w:r>
        <w:rPr>
          <w:rFonts w:hint="eastAsia" w:ascii="仿宋" w:hAnsi="仿宋" w:eastAsia="仿宋" w:cs="黑体"/>
          <w:kern w:val="0"/>
          <w:sz w:val="32"/>
          <w:szCs w:val="32"/>
          <w:lang w:val="zh-CN"/>
        </w:rPr>
        <w:t>六稳</w:t>
      </w:r>
      <w:r>
        <w:rPr>
          <w:rFonts w:ascii="仿宋" w:hAnsi="仿宋" w:eastAsia="仿宋" w:cs="黑体"/>
          <w:kern w:val="0"/>
          <w:sz w:val="32"/>
          <w:szCs w:val="32"/>
          <w:lang w:val="zh-CN"/>
        </w:rPr>
        <w:t>”“</w:t>
      </w:r>
      <w:r>
        <w:rPr>
          <w:rFonts w:hint="eastAsia" w:ascii="仿宋" w:hAnsi="仿宋" w:eastAsia="仿宋" w:cs="黑体"/>
          <w:kern w:val="0"/>
          <w:sz w:val="32"/>
          <w:szCs w:val="32"/>
          <w:lang w:val="zh-CN"/>
        </w:rPr>
        <w:t>六保</w:t>
      </w:r>
      <w:r>
        <w:rPr>
          <w:rFonts w:ascii="仿宋" w:hAnsi="仿宋" w:eastAsia="仿宋" w:cs="黑体"/>
          <w:kern w:val="0"/>
          <w:sz w:val="32"/>
          <w:szCs w:val="32"/>
          <w:lang w:val="zh-CN"/>
        </w:rPr>
        <w:t>”</w:t>
      </w:r>
      <w:r>
        <w:rPr>
          <w:rFonts w:hint="eastAsia" w:ascii="仿宋" w:hAnsi="仿宋" w:eastAsia="仿宋" w:cs="黑体"/>
          <w:kern w:val="0"/>
          <w:sz w:val="32"/>
          <w:szCs w:val="32"/>
          <w:lang w:val="zh-CN"/>
        </w:rPr>
        <w:t>要求，切实减轻建筑业企业负担，激发建筑市场主体活力，根据《保障农民工工资支付条例》</w:t>
      </w:r>
      <w:r>
        <w:rPr>
          <w:rFonts w:ascii="仿宋" w:hAnsi="仿宋" w:eastAsia="仿宋" w:cs="黑体"/>
          <w:kern w:val="0"/>
          <w:sz w:val="32"/>
          <w:szCs w:val="32"/>
          <w:lang w:val="zh-CN"/>
        </w:rPr>
        <w:t>《浙江省民营企业发展促进条例》</w:t>
      </w:r>
      <w:r>
        <w:rPr>
          <w:rFonts w:hint="eastAsia" w:ascii="仿宋" w:hAnsi="仿宋" w:eastAsia="仿宋" w:cs="黑体"/>
          <w:kern w:val="0"/>
          <w:sz w:val="32"/>
          <w:szCs w:val="32"/>
          <w:lang w:val="zh-CN"/>
        </w:rPr>
        <w:t>和《住房和城乡建设部等部门关于加快推进房屋建筑和市政基础设施工程实行工程担保制度的指导意见》（建市﹝2</w:t>
      </w:r>
      <w:r>
        <w:rPr>
          <w:rFonts w:ascii="仿宋" w:hAnsi="仿宋" w:eastAsia="仿宋" w:cs="黑体"/>
          <w:kern w:val="0"/>
          <w:sz w:val="32"/>
          <w:szCs w:val="32"/>
          <w:lang w:val="zh-CN"/>
        </w:rPr>
        <w:t>019</w:t>
      </w:r>
      <w:r>
        <w:rPr>
          <w:rFonts w:hint="eastAsia" w:ascii="仿宋" w:hAnsi="仿宋" w:eastAsia="仿宋" w:cs="黑体"/>
          <w:kern w:val="0"/>
          <w:sz w:val="32"/>
          <w:szCs w:val="32"/>
          <w:lang w:val="zh-CN"/>
        </w:rPr>
        <w:t>﹞6</w:t>
      </w:r>
      <w:r>
        <w:rPr>
          <w:rFonts w:ascii="仿宋" w:hAnsi="仿宋" w:eastAsia="仿宋" w:cs="黑体"/>
          <w:kern w:val="0"/>
          <w:sz w:val="32"/>
          <w:szCs w:val="32"/>
          <w:lang w:val="zh-CN"/>
        </w:rPr>
        <w:t>8</w:t>
      </w:r>
      <w:r>
        <w:rPr>
          <w:rFonts w:hint="eastAsia" w:ascii="仿宋" w:hAnsi="仿宋" w:eastAsia="仿宋" w:cs="黑体"/>
          <w:kern w:val="0"/>
          <w:sz w:val="32"/>
          <w:szCs w:val="32"/>
          <w:lang w:val="zh-CN"/>
        </w:rPr>
        <w:t>号）的规定，现就工程建设领域改革保证金制度通知如下，请认真贯彻执行。</w:t>
      </w:r>
    </w:p>
    <w:p>
      <w:pPr>
        <w:adjustRightInd w:val="0"/>
        <w:snapToGrid w:val="0"/>
        <w:spacing w:line="600" w:lineRule="exact"/>
        <w:ind w:firstLine="643" w:firstLineChars="200"/>
        <w:rPr>
          <w:rFonts w:ascii="楷体" w:hAnsi="楷体" w:eastAsia="楷体" w:cs="黑体"/>
          <w:b/>
          <w:kern w:val="0"/>
          <w:sz w:val="32"/>
          <w:szCs w:val="32"/>
        </w:rPr>
      </w:pPr>
      <w:r>
        <w:rPr>
          <w:rFonts w:hint="eastAsia" w:ascii="楷体" w:hAnsi="楷体" w:eastAsia="楷体" w:cs="黑体"/>
          <w:b/>
          <w:kern w:val="0"/>
          <w:sz w:val="32"/>
          <w:szCs w:val="32"/>
          <w:lang w:val="zh-CN"/>
        </w:rPr>
        <w:t>一、加快推行工程保函替代保证金。</w:t>
      </w:r>
      <w:r>
        <w:rPr>
          <w:rFonts w:hint="eastAsia" w:ascii="仿宋" w:hAnsi="仿宋" w:eastAsia="仿宋" w:cs="黑体"/>
          <w:kern w:val="0"/>
          <w:sz w:val="32"/>
          <w:szCs w:val="32"/>
          <w:lang w:val="zh-CN"/>
        </w:rPr>
        <w:t>工程保函包括银行保函、保险机构保证保险保单和融资担保公司保函。2020年6月30日后招标的政府投资项目全面接受工程保函缴纳投标保证金、履约保证金和工程质量保证金；鼓励其他投资项目大力提高工程保函覆盖率，其中二级资质以上建筑业企业承接的项目全面接受工程保函，到2020年9月底达到50%以上，到2020年12月底达到80%以上。2020年6月30日起，农民工工资保证金全面允许以工程保函方式缴纳。已经以现金缴纳的上述保证金可用工程保函替换。</w:t>
      </w:r>
    </w:p>
    <w:p>
      <w:pPr>
        <w:adjustRightInd w:val="0"/>
        <w:snapToGrid w:val="0"/>
        <w:spacing w:line="600" w:lineRule="exact"/>
        <w:ind w:firstLine="643" w:firstLineChars="200"/>
        <w:rPr>
          <w:rFonts w:ascii="仿宋" w:hAnsi="仿宋" w:eastAsia="仿宋" w:cs="黑体"/>
          <w:kern w:val="0"/>
          <w:sz w:val="32"/>
          <w:szCs w:val="32"/>
          <w:lang w:val="zh-CN"/>
        </w:rPr>
      </w:pPr>
      <w:r>
        <w:rPr>
          <w:rFonts w:hint="eastAsia" w:ascii="楷体" w:hAnsi="楷体" w:eastAsia="楷体" w:cs="黑体"/>
          <w:b/>
          <w:kern w:val="0"/>
          <w:sz w:val="32"/>
          <w:szCs w:val="32"/>
          <w:lang w:val="zh-CN"/>
        </w:rPr>
        <w:t>二、进一步降低保证金缴纳额度。</w:t>
      </w:r>
      <w:r>
        <w:rPr>
          <w:rFonts w:hint="eastAsia" w:ascii="仿宋" w:hAnsi="仿宋" w:eastAsia="仿宋" w:cs="黑体"/>
          <w:kern w:val="0"/>
          <w:sz w:val="32"/>
          <w:szCs w:val="32"/>
          <w:lang w:val="zh-CN"/>
        </w:rPr>
        <w:t>降低2020年6月30日后招标的</w:t>
      </w:r>
      <w:r>
        <w:rPr>
          <w:rFonts w:ascii="仿宋" w:hAnsi="仿宋" w:eastAsia="仿宋" w:cs="黑体"/>
          <w:kern w:val="0"/>
          <w:sz w:val="32"/>
          <w:szCs w:val="32"/>
          <w:lang w:val="zh-CN"/>
        </w:rPr>
        <w:t>政府投资项目</w:t>
      </w:r>
      <w:r>
        <w:rPr>
          <w:rFonts w:hint="eastAsia" w:ascii="仿宋" w:hAnsi="仿宋" w:eastAsia="仿宋" w:cs="黑体"/>
          <w:kern w:val="0"/>
          <w:sz w:val="32"/>
          <w:szCs w:val="32"/>
          <w:lang w:val="zh-CN"/>
        </w:rPr>
        <w:t>保证金缴纳金额，其中投标保证金不得超过5</w:t>
      </w:r>
      <w:r>
        <w:rPr>
          <w:rFonts w:ascii="仿宋" w:hAnsi="仿宋" w:eastAsia="仿宋" w:cs="黑体"/>
          <w:kern w:val="0"/>
          <w:sz w:val="32"/>
          <w:szCs w:val="32"/>
          <w:lang w:val="zh-CN"/>
        </w:rPr>
        <w:t>0</w:t>
      </w:r>
      <w:r>
        <w:rPr>
          <w:rFonts w:hint="eastAsia" w:ascii="仿宋" w:hAnsi="仿宋" w:eastAsia="仿宋" w:cs="黑体"/>
          <w:kern w:val="0"/>
          <w:sz w:val="32"/>
          <w:szCs w:val="32"/>
          <w:lang w:val="zh-CN"/>
        </w:rPr>
        <w:t>万元；履约保证金不得超过中标合同金额的2%，在工程竣工验收（交通、水利工程完工验收）合格后10日内应全额返还，合同工期一年以上的工程可以分年度或施工形象进度缴纳；</w:t>
      </w:r>
      <w:r>
        <w:rPr>
          <w:rFonts w:ascii="仿宋" w:hAnsi="仿宋" w:eastAsia="仿宋" w:cs="黑体"/>
          <w:kern w:val="0"/>
          <w:sz w:val="32"/>
          <w:szCs w:val="32"/>
          <w:lang w:val="zh-CN"/>
        </w:rPr>
        <w:t>工程质量保证金</w:t>
      </w:r>
      <w:r>
        <w:rPr>
          <w:rFonts w:hint="eastAsia" w:ascii="仿宋" w:hAnsi="仿宋" w:eastAsia="仿宋" w:cs="黑体"/>
          <w:kern w:val="0"/>
          <w:sz w:val="32"/>
          <w:szCs w:val="32"/>
          <w:lang w:val="zh-CN"/>
        </w:rPr>
        <w:t>的</w:t>
      </w:r>
      <w:r>
        <w:rPr>
          <w:rFonts w:ascii="仿宋" w:hAnsi="仿宋" w:eastAsia="仿宋" w:cs="黑体"/>
          <w:kern w:val="0"/>
          <w:sz w:val="32"/>
          <w:szCs w:val="32"/>
          <w:lang w:val="zh-CN"/>
        </w:rPr>
        <w:t>预留比例</w:t>
      </w:r>
      <w:r>
        <w:rPr>
          <w:rFonts w:hint="eastAsia" w:ascii="仿宋" w:hAnsi="仿宋" w:eastAsia="仿宋" w:cs="黑体"/>
          <w:kern w:val="0"/>
          <w:sz w:val="32"/>
          <w:szCs w:val="32"/>
          <w:lang w:val="zh-CN"/>
        </w:rPr>
        <w:t>不得超过</w:t>
      </w:r>
      <w:r>
        <w:rPr>
          <w:rFonts w:ascii="仿宋" w:hAnsi="仿宋" w:eastAsia="仿宋" w:cs="黑体"/>
          <w:kern w:val="0"/>
          <w:sz w:val="32"/>
          <w:szCs w:val="32"/>
          <w:lang w:val="zh-CN"/>
        </w:rPr>
        <w:t>工程价款结算总额的</w:t>
      </w:r>
      <w:r>
        <w:rPr>
          <w:rFonts w:hint="eastAsia" w:ascii="仿宋" w:hAnsi="仿宋" w:eastAsia="仿宋" w:cs="黑体"/>
          <w:kern w:val="0"/>
          <w:sz w:val="32"/>
          <w:szCs w:val="32"/>
          <w:lang w:val="zh-CN"/>
        </w:rPr>
        <w:t>1.5</w:t>
      </w:r>
      <w:r>
        <w:rPr>
          <w:rFonts w:ascii="仿宋" w:hAnsi="仿宋" w:eastAsia="仿宋" w:cs="黑体"/>
          <w:kern w:val="0"/>
          <w:sz w:val="32"/>
          <w:szCs w:val="32"/>
          <w:lang w:val="zh-CN"/>
        </w:rPr>
        <w:t>%</w:t>
      </w:r>
      <w:r>
        <w:rPr>
          <w:rFonts w:hint="eastAsia" w:ascii="仿宋" w:hAnsi="仿宋" w:eastAsia="仿宋" w:cs="黑体"/>
          <w:kern w:val="0"/>
          <w:sz w:val="32"/>
          <w:szCs w:val="32"/>
          <w:lang w:val="zh-CN"/>
        </w:rPr>
        <w:t>。鼓励其他投资项目相应降低保证金缴纳额度</w:t>
      </w:r>
      <w:r>
        <w:rPr>
          <w:rFonts w:ascii="仿宋" w:hAnsi="仿宋" w:eastAsia="仿宋" w:cs="黑体"/>
          <w:kern w:val="0"/>
          <w:sz w:val="32"/>
          <w:szCs w:val="32"/>
          <w:lang w:val="zh-CN"/>
        </w:rPr>
        <w:t>。</w:t>
      </w:r>
      <w:r>
        <w:rPr>
          <w:rFonts w:hint="eastAsia" w:ascii="仿宋" w:hAnsi="仿宋" w:eastAsia="仿宋" w:cs="黑体"/>
          <w:kern w:val="0"/>
          <w:sz w:val="32"/>
          <w:szCs w:val="32"/>
          <w:lang w:val="zh-CN"/>
        </w:rPr>
        <w:t>设立人工费分账基准比例，房屋建筑、装饰、桥梁、隧道工程为20%，公路、水运、水利工程（不含河道工程）</w:t>
      </w:r>
      <w:r>
        <w:rPr>
          <w:rFonts w:hint="eastAsia" w:ascii="仿宋" w:hAnsi="仿宋" w:eastAsia="仿宋"/>
          <w:sz w:val="32"/>
          <w:szCs w:val="32"/>
        </w:rPr>
        <w:t>为15%，河道、给排水工程为14%，道路桥梁组合工程为12%，城市轨道土建工程为10%，道路工程为8%。</w:t>
      </w:r>
      <w:r>
        <w:rPr>
          <w:rFonts w:hint="eastAsia" w:ascii="仿宋" w:hAnsi="仿宋" w:eastAsia="仿宋" w:cs="黑体"/>
          <w:kern w:val="0"/>
          <w:sz w:val="32"/>
          <w:szCs w:val="32"/>
          <w:lang w:val="zh-CN"/>
        </w:rPr>
        <w:t>在满足按月足额支付农民工工资的前提下，建设单位和工程承包单位可根据基准比例浮动约定。鼓励银行金融机构推出保障农民工工资支付的专项贷款产品，在发生工资专用账户暂时无法足额支付当月工资时，临时启用专项贷款先行支付农民工工资，人工费用到位后，银行可按原贷款金额从专户中划转还款。</w:t>
      </w:r>
      <w:r>
        <w:rPr>
          <w:rFonts w:hint="eastAsia" w:ascii="仿宋" w:eastAsia="仿宋" w:cs="黑体"/>
          <w:kern w:val="0"/>
          <w:sz w:val="32"/>
          <w:szCs w:val="32"/>
          <w:lang w:val="zh-CN"/>
        </w:rPr>
        <w:t>足额支付前期和当期农民工工资后，工资专用账户当期自有资金结余较多的，经建设单位和工程承包单位协商一致后，可向开户银行申请转入工程款账户</w:t>
      </w:r>
      <w:r>
        <w:rPr>
          <w:rFonts w:hint="eastAsia" w:ascii="仿宋" w:hAnsi="仿宋" w:eastAsia="仿宋" w:cs="黑体"/>
          <w:kern w:val="0"/>
          <w:sz w:val="32"/>
          <w:szCs w:val="32"/>
          <w:lang w:val="zh-CN"/>
        </w:rPr>
        <w:t>。</w:t>
      </w:r>
    </w:p>
    <w:p>
      <w:pPr>
        <w:autoSpaceDE w:val="0"/>
        <w:autoSpaceDN w:val="0"/>
        <w:adjustRightInd w:val="0"/>
        <w:spacing w:line="600" w:lineRule="exact"/>
        <w:ind w:firstLine="636" w:firstLineChars="198"/>
        <w:rPr>
          <w:rFonts w:ascii="仿宋" w:hAnsi="仿宋" w:eastAsia="仿宋" w:cs="黑体"/>
          <w:kern w:val="0"/>
          <w:sz w:val="32"/>
          <w:szCs w:val="32"/>
          <w:lang w:val="zh-CN"/>
        </w:rPr>
      </w:pPr>
      <w:r>
        <w:rPr>
          <w:rFonts w:hint="eastAsia" w:ascii="楷体" w:hAnsi="楷体" w:eastAsia="楷体" w:cs="黑体"/>
          <w:b/>
          <w:kern w:val="0"/>
          <w:sz w:val="32"/>
          <w:szCs w:val="32"/>
          <w:lang w:val="zh-CN"/>
        </w:rPr>
        <w:t>三、充分保障企业自主选择权。</w:t>
      </w:r>
      <w:r>
        <w:rPr>
          <w:rFonts w:hint="eastAsia" w:ascii="仿宋" w:hAnsi="仿宋" w:eastAsia="仿宋" w:cs="黑体"/>
          <w:kern w:val="0"/>
          <w:sz w:val="32"/>
          <w:szCs w:val="32"/>
          <w:lang w:val="zh-CN"/>
        </w:rPr>
        <w:t>严格落实国务院清理规范工程建设领域保证金的要求，对于建筑业企业以工程保函方式缴纳的投标保证金、履约保证金、工程质量保证金、农民工工资保证金，任何单位和部门不得排斥、限制或拒绝。招标人在招标文件和工程合同中排斥工程保函缴纳保证金的，视为限制、排斥潜在投标人和订立背离合同实质性内容协议。</w:t>
      </w:r>
      <w:r>
        <w:rPr>
          <w:rFonts w:ascii="仿宋" w:hAnsi="仿宋" w:eastAsia="仿宋" w:cs="黑体"/>
          <w:kern w:val="0"/>
          <w:sz w:val="32"/>
          <w:szCs w:val="32"/>
          <w:lang w:val="zh-CN"/>
        </w:rPr>
        <w:t>建设单位要求</w:t>
      </w:r>
      <w:r>
        <w:rPr>
          <w:rFonts w:hint="eastAsia" w:ascii="仿宋" w:hAnsi="仿宋" w:eastAsia="仿宋" w:cs="黑体"/>
          <w:kern w:val="0"/>
          <w:sz w:val="32"/>
          <w:szCs w:val="32"/>
          <w:lang w:val="zh-CN"/>
        </w:rPr>
        <w:t>工程承包单位</w:t>
      </w:r>
      <w:r>
        <w:rPr>
          <w:rFonts w:ascii="仿宋" w:hAnsi="仿宋" w:eastAsia="仿宋" w:cs="黑体"/>
          <w:kern w:val="0"/>
          <w:sz w:val="32"/>
          <w:szCs w:val="32"/>
          <w:lang w:val="zh-CN"/>
        </w:rPr>
        <w:t>提供履约担保的，应当同时向</w:t>
      </w:r>
      <w:r>
        <w:rPr>
          <w:rFonts w:hint="eastAsia" w:ascii="仿宋" w:hAnsi="仿宋" w:eastAsia="仿宋" w:cs="黑体"/>
          <w:kern w:val="0"/>
          <w:sz w:val="32"/>
          <w:szCs w:val="32"/>
          <w:lang w:val="zh-CN"/>
        </w:rPr>
        <w:t>其</w:t>
      </w:r>
      <w:r>
        <w:rPr>
          <w:rFonts w:ascii="仿宋" w:hAnsi="仿宋" w:eastAsia="仿宋" w:cs="黑体"/>
          <w:kern w:val="0"/>
          <w:sz w:val="32"/>
          <w:szCs w:val="32"/>
          <w:lang w:val="zh-CN"/>
        </w:rPr>
        <w:t>提供相同金额的工程款支付担保</w:t>
      </w:r>
      <w:r>
        <w:rPr>
          <w:rFonts w:hint="eastAsia" w:ascii="仿宋" w:hAnsi="仿宋" w:eastAsia="仿宋" w:cs="黑体"/>
          <w:kern w:val="0"/>
          <w:sz w:val="32"/>
          <w:szCs w:val="32"/>
          <w:lang w:val="zh-CN"/>
        </w:rPr>
        <w:t>。</w:t>
      </w:r>
    </w:p>
    <w:p>
      <w:pPr>
        <w:autoSpaceDE w:val="0"/>
        <w:autoSpaceDN w:val="0"/>
        <w:adjustRightInd w:val="0"/>
        <w:spacing w:line="600" w:lineRule="exact"/>
        <w:ind w:firstLine="636" w:firstLineChars="198"/>
        <w:rPr>
          <w:rFonts w:hint="eastAsia" w:ascii="仿宋" w:hAnsi="仿宋" w:eastAsia="仿宋" w:cs="黑体"/>
          <w:kern w:val="0"/>
          <w:sz w:val="32"/>
          <w:szCs w:val="32"/>
          <w:lang w:val="zh-CN"/>
        </w:rPr>
      </w:pPr>
      <w:r>
        <w:rPr>
          <w:rFonts w:hint="eastAsia" w:ascii="楷体" w:hAnsi="楷体" w:eastAsia="楷体" w:cs="黑体"/>
          <w:b/>
          <w:kern w:val="0"/>
          <w:sz w:val="32"/>
          <w:szCs w:val="32"/>
          <w:lang w:val="zh-CN"/>
        </w:rPr>
        <w:t>四、建立健全信用与工程保函挂钩机制。</w:t>
      </w:r>
      <w:r>
        <w:rPr>
          <w:rFonts w:hint="eastAsia" w:ascii="仿宋" w:hAnsi="仿宋" w:eastAsia="仿宋" w:cs="黑体"/>
          <w:kern w:val="0"/>
          <w:sz w:val="32"/>
          <w:szCs w:val="32"/>
          <w:lang w:val="zh-CN"/>
        </w:rPr>
        <w:t>加快建筑市场信用体系建设，实行保证金差异化缴纳。自2020年6月30日起，信用评价结果最高等级的建筑业企业可免缴政府投资项目的投标保证金；实名制管理、工资分账管理等根治欠薪制度落实到位、连续两年未被欠薪立案且未纳入建筑市场严重失信名单的建筑业企业，可免缴农民工工资保证金，已缴纳的予以全额返还；对根治欠薪制度落实不到位或者被欠薪立案的建筑业企业，提高其农民工工资保证金缴纳金额，最高不超过其应缴金额的3倍。同时，进一步健全建筑市场准入制度，</w:t>
      </w:r>
      <w:r>
        <w:rPr>
          <w:rFonts w:hint="eastAsia" w:ascii="仿宋_GB2312" w:hAnsi="仿宋" w:eastAsia="仿宋_GB2312" w:cs="黑体"/>
          <w:kern w:val="0"/>
          <w:sz w:val="32"/>
          <w:szCs w:val="32"/>
          <w:lang w:val="zh-CN"/>
        </w:rPr>
        <w:t>建筑业企业因欠薪等被列入严重失信名单的，在严重失信名单发布期限内，按照发布部门的管辖权限，依法限制其进入相应行政范围内的建筑市场。</w:t>
      </w:r>
      <w:bookmarkStart w:id="0" w:name="_Hlk39706765"/>
      <w:r>
        <w:rPr>
          <w:rFonts w:hint="eastAsia" w:ascii="仿宋" w:hAnsi="仿宋" w:eastAsia="仿宋" w:cs="黑体"/>
          <w:kern w:val="0"/>
          <w:sz w:val="32"/>
          <w:szCs w:val="32"/>
          <w:lang w:val="zh-CN"/>
        </w:rPr>
        <w:t>政府投资项目的招标人应当要求投标人不得处于不良信息发布期</w:t>
      </w:r>
      <w:bookmarkEnd w:id="0"/>
      <w:r>
        <w:rPr>
          <w:rFonts w:hint="eastAsia" w:ascii="仿宋" w:hAnsi="仿宋" w:eastAsia="仿宋" w:cs="黑体"/>
          <w:kern w:val="0"/>
          <w:sz w:val="32"/>
          <w:szCs w:val="32"/>
          <w:lang w:val="zh-CN"/>
        </w:rPr>
        <w:t>。</w:t>
      </w:r>
    </w:p>
    <w:p>
      <w:pPr>
        <w:autoSpaceDE w:val="0"/>
        <w:autoSpaceDN w:val="0"/>
        <w:adjustRightInd w:val="0"/>
        <w:spacing w:line="600" w:lineRule="exact"/>
        <w:ind w:firstLine="636" w:firstLineChars="198"/>
        <w:rPr>
          <w:rFonts w:ascii="仿宋" w:hAnsi="仿宋" w:eastAsia="仿宋" w:cs="黑体"/>
          <w:kern w:val="0"/>
          <w:sz w:val="32"/>
          <w:szCs w:val="32"/>
          <w:lang w:val="zh-CN"/>
        </w:rPr>
      </w:pPr>
      <w:r>
        <w:rPr>
          <w:rFonts w:hint="eastAsia" w:ascii="楷体" w:hAnsi="楷体" w:eastAsia="楷体" w:cs="黑体"/>
          <w:b/>
          <w:kern w:val="0"/>
          <w:sz w:val="32"/>
          <w:szCs w:val="32"/>
          <w:lang w:val="zh-CN"/>
        </w:rPr>
        <w:t>五、规范建设工程价款结算行为。</w:t>
      </w:r>
      <w:r>
        <w:rPr>
          <w:rFonts w:hint="eastAsia" w:ascii="仿宋" w:hAnsi="仿宋" w:eastAsia="仿宋" w:cs="黑体"/>
          <w:kern w:val="0"/>
          <w:sz w:val="32"/>
          <w:szCs w:val="32"/>
          <w:lang w:val="zh-CN"/>
        </w:rPr>
        <w:t>全面推行施工过程结算，建设单位应当按照合同约定强化工程进度款支付和工程结算管理，不得将未完成审计作为延期工程结算以及拖欠工程款的理由，不得以审计结果作为政府投资项目竣工结算依据。政府投资项目工程进度款支付比例应不低于当月完成工程量的8</w:t>
      </w:r>
      <w:r>
        <w:rPr>
          <w:rFonts w:ascii="仿宋" w:hAnsi="仿宋" w:eastAsia="仿宋" w:cs="黑体"/>
          <w:kern w:val="0"/>
          <w:sz w:val="32"/>
          <w:szCs w:val="32"/>
          <w:lang w:val="zh-CN"/>
        </w:rPr>
        <w:t>0%</w:t>
      </w:r>
      <w:r>
        <w:rPr>
          <w:rFonts w:hint="eastAsia" w:ascii="仿宋" w:hAnsi="仿宋" w:eastAsia="仿宋" w:cs="黑体"/>
          <w:kern w:val="0"/>
          <w:sz w:val="32"/>
          <w:szCs w:val="32"/>
          <w:lang w:val="zh-CN"/>
        </w:rPr>
        <w:t>。工程项目建成后，建设单位</w:t>
      </w:r>
      <w:r>
        <w:rPr>
          <w:rFonts w:ascii="仿宋" w:hAnsi="仿宋" w:eastAsia="仿宋" w:cs="黑体"/>
          <w:kern w:val="0"/>
          <w:sz w:val="32"/>
          <w:szCs w:val="32"/>
          <w:lang w:val="zh-CN"/>
        </w:rPr>
        <w:t>应当按照国家有关规定进行竣工</w:t>
      </w:r>
      <w:r>
        <w:rPr>
          <w:rFonts w:hint="eastAsia" w:ascii="仿宋" w:hAnsi="仿宋" w:eastAsia="仿宋" w:cs="黑体"/>
          <w:kern w:val="0"/>
          <w:sz w:val="32"/>
          <w:szCs w:val="32"/>
          <w:lang w:val="zh-CN"/>
        </w:rPr>
        <w:t>（完工）</w:t>
      </w:r>
      <w:r>
        <w:rPr>
          <w:rFonts w:ascii="仿宋" w:hAnsi="仿宋" w:eastAsia="仿宋" w:cs="黑体"/>
          <w:kern w:val="0"/>
          <w:sz w:val="32"/>
          <w:szCs w:val="32"/>
          <w:lang w:val="zh-CN"/>
        </w:rPr>
        <w:t>验收</w:t>
      </w:r>
      <w:r>
        <w:rPr>
          <w:rFonts w:hint="eastAsia" w:ascii="仿宋" w:hAnsi="仿宋" w:eastAsia="仿宋" w:cs="黑体"/>
          <w:kern w:val="0"/>
          <w:sz w:val="32"/>
          <w:szCs w:val="32"/>
          <w:lang w:val="zh-CN"/>
        </w:rPr>
        <w:t>，原则上应在半年内完成。公路水运工程按有关规定，在试运营期满后及时组织竣工验收。工程承包单位已经提交竣工（完工）验收报告，建设单位拖延验收的，以工程承包单位提交验收（完工）报告之日为竣工（完工）日期。</w:t>
      </w:r>
    </w:p>
    <w:p>
      <w:pPr>
        <w:rPr>
          <w:sz w:val="32"/>
          <w:szCs w:val="32"/>
        </w:rPr>
      </w:pPr>
      <w:r>
        <w:rPr>
          <w:rFonts w:hint="eastAsia" w:ascii="楷体" w:hAnsi="楷体" w:eastAsia="楷体" w:cs="黑体"/>
          <w:b/>
          <w:kern w:val="0"/>
          <w:sz w:val="32"/>
          <w:szCs w:val="32"/>
          <w:lang w:val="zh-CN"/>
        </w:rPr>
        <w:t>六、全面加强对保证金的监督管理。</w:t>
      </w:r>
      <w:r>
        <w:rPr>
          <w:rFonts w:hint="eastAsia" w:ascii="仿宋" w:hAnsi="仿宋" w:eastAsia="仿宋"/>
          <w:kern w:val="0"/>
          <w:sz w:val="32"/>
          <w:szCs w:val="32"/>
        </w:rPr>
        <w:t>开展对工程建设领域保证金的专项清理，全面摸清底数，</w:t>
      </w:r>
      <w:r>
        <w:rPr>
          <w:rFonts w:hint="eastAsia" w:ascii="仿宋" w:hAnsi="仿宋" w:eastAsia="仿宋" w:cs="黑体"/>
          <w:kern w:val="0"/>
          <w:sz w:val="32"/>
          <w:szCs w:val="32"/>
          <w:lang w:val="zh-CN"/>
        </w:rPr>
        <w:t>纠正非法设立、违规超标准收取、超期限滞留保证金和限制保证金缴纳方式等行为，2020年6月30日前完成自查自纠。同时，严格落实农民工工资保证金“一地缴纳，全市通用”的设区市区域统筹制度。银行、保险公司、融资性担保公司要落实“最多跑一次”改革要求，优化业务流程，规范收费行为，提升风险管控能力，建立小额保函核签核保绿色通道；农民工工资保函应根据人力社保或行业主管部门出具的认定结论，立即兑付理赔。</w:t>
      </w:r>
      <w:r>
        <w:rPr>
          <w:rFonts w:hint="eastAsia" w:ascii="仿宋" w:hAnsi="仿宋" w:eastAsia="仿宋"/>
          <w:kern w:val="0"/>
          <w:sz w:val="32"/>
          <w:szCs w:val="32"/>
        </w:rPr>
        <w:t>建设、交通、水利等行业主管部门要加强对本领域实行</w:t>
      </w:r>
      <w:r>
        <w:rPr>
          <w:rFonts w:hint="eastAsia" w:ascii="仿宋_GB2312" w:hAnsi="仿宋" w:eastAsia="仿宋_GB2312" w:cs="黑体"/>
          <w:kern w:val="0"/>
          <w:sz w:val="32"/>
          <w:szCs w:val="32"/>
          <w:lang w:val="zh-CN"/>
        </w:rPr>
        <w:t>工程保函缴纳保证金</w:t>
      </w:r>
      <w:r>
        <w:rPr>
          <w:rFonts w:hint="eastAsia" w:ascii="仿宋" w:hAnsi="仿宋" w:eastAsia="仿宋"/>
          <w:kern w:val="0"/>
          <w:sz w:val="32"/>
          <w:szCs w:val="32"/>
        </w:rPr>
        <w:t>制度的监管。</w:t>
      </w:r>
      <w:r>
        <w:rPr>
          <w:rFonts w:hint="eastAsia" w:ascii="仿宋" w:hAnsi="仿宋" w:eastAsia="仿宋" w:cs="黑体"/>
          <w:kern w:val="0"/>
          <w:sz w:val="32"/>
          <w:szCs w:val="32"/>
          <w:lang w:val="zh-CN"/>
        </w:rPr>
        <w:t>发展改革、财政主管部门依据职责加强对政府投资项目的投资控制和建设资金使用情况的监管。人力社保主管部门要加强对落实保障农民工工资支付制度的监管。审计部门要</w:t>
      </w:r>
      <w:r>
        <w:rPr>
          <w:rFonts w:hint="eastAsia" w:ascii="仿宋_GB2312" w:hAnsi="仿宋" w:eastAsia="仿宋_GB2312" w:cs="黑体"/>
          <w:kern w:val="0"/>
          <w:sz w:val="32"/>
          <w:szCs w:val="32"/>
          <w:lang w:val="zh-CN"/>
        </w:rPr>
        <w:t>加强对工程保函缴纳保证金制度执行情况的审计监督</w:t>
      </w:r>
      <w:r>
        <w:rPr>
          <w:rFonts w:hint="eastAsia" w:ascii="仿宋" w:hAnsi="仿宋" w:eastAsia="仿宋" w:cs="黑体"/>
          <w:kern w:val="0"/>
          <w:sz w:val="32"/>
          <w:szCs w:val="32"/>
          <w:lang w:val="zh-CN"/>
        </w:rPr>
        <w:t>。人民银行要</w:t>
      </w:r>
      <w:r>
        <w:rPr>
          <w:rFonts w:hint="eastAsia" w:ascii="仿宋" w:hAnsi="仿宋" w:eastAsia="仿宋"/>
          <w:sz w:val="32"/>
          <w:szCs w:val="32"/>
        </w:rPr>
        <w:t>发挥应收账款融资服务平台功能，支持金融机构为建筑业企业提供应收账款质押融资等便利化金融服务，盘活建筑业企业应收账款资源，提高资金周转效率；</w:t>
      </w:r>
      <w:r>
        <w:rPr>
          <w:rFonts w:hint="eastAsia" w:ascii="仿宋" w:hAnsi="仿宋" w:eastAsia="仿宋" w:cs="黑体"/>
          <w:kern w:val="0"/>
          <w:sz w:val="32"/>
          <w:szCs w:val="32"/>
          <w:lang w:val="zh-CN"/>
        </w:rPr>
        <w:t>配合完善农民工工资专用账户管理制度，组织银行机构配合探索建筑业企业在省域范围内通过一个专用账户发放不同工程项目的农民工工资。银保监、地方金融监管部门要加强对银行保险、担保相关业务的监管，</w:t>
      </w:r>
      <w:r>
        <w:rPr>
          <w:rFonts w:hint="eastAsia" w:ascii="仿宋" w:hAnsi="仿宋" w:eastAsia="仿宋"/>
          <w:sz w:val="32"/>
          <w:szCs w:val="32"/>
        </w:rPr>
        <w:t>推动政府性融资担保体系建设，充分发挥政府性融资担保在企业增信、风险分担中的作用</w:t>
      </w:r>
      <w:r>
        <w:rPr>
          <w:rFonts w:hint="eastAsia" w:ascii="仿宋" w:hAnsi="仿宋" w:eastAsia="仿宋" w:cs="黑体"/>
          <w:kern w:val="0"/>
          <w:sz w:val="32"/>
          <w:szCs w:val="32"/>
          <w:lang w:val="zh-CN"/>
        </w:rPr>
        <w:t>，支持加快推行电子保函，。招投标行政监督部门、公共资源交易机构要严格落实建筑市场准入制度，加强</w:t>
      </w:r>
      <w:r>
        <w:rPr>
          <w:rFonts w:hint="eastAsia" w:ascii="仿宋" w:hAnsi="仿宋" w:eastAsia="仿宋"/>
          <w:sz w:val="32"/>
          <w:szCs w:val="32"/>
        </w:rPr>
        <w:t>与建设、交通、水利等行业主管部门的信息共享。</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296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5">
    <w:name w:val="Hyperlink"/>
    <w:unhideWhenUsed/>
    <w:uiPriority w:val="99"/>
    <w:rPr>
      <w:color w:val="0000FF"/>
      <w:u w:val="single"/>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SJST</dc:creator>
  <cp:lastModifiedBy>孟醒</cp:lastModifiedBy>
  <dcterms:modified xsi:type="dcterms:W3CDTF">2020-05-15T01:12:03Z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