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附件：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hAnsi="微软雅黑" w:eastAsia="方正小标宋_GBK" w:cs="宋体"/>
          <w:kern w:val="0"/>
          <w:sz w:val="36"/>
          <w:szCs w:val="36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hAnsi="微软雅黑" w:eastAsia="方正小标宋_GBK" w:cs="宋体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关于修改《浙江</w:t>
      </w:r>
      <w:bookmarkStart w:id="0" w:name="_GoBack"/>
      <w:bookmarkEnd w:id="0"/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省建筑市场公共信用信息管理办法》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hAnsi="微软雅黑" w:eastAsia="方正小标宋_GBK" w:cs="宋体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宋体"/>
          <w:kern w:val="0"/>
          <w:sz w:val="36"/>
          <w:szCs w:val="36"/>
        </w:rPr>
        <w:t>的通知</w:t>
      </w:r>
    </w:p>
    <w:p>
      <w:pPr>
        <w:adjustRightInd w:val="0"/>
        <w:snapToGrid w:val="0"/>
        <w:spacing w:line="640" w:lineRule="exact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各市建委（建设局）：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为健全建筑市场信用体系建设，决定对《关于印发〈浙江省建筑市场公共信用信息管理办法〉的通知》（浙建〔2017〕20号）附件《浙江省建筑市场公共信用信息管理办法》的部分内容予以修改。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一、删除第九条第（四）项、第（五）项、第（八）项。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二、第十条第一款修改为“</w:t>
      </w:r>
      <w:r>
        <w:rPr>
          <w:rFonts w:hint="eastAsia" w:ascii="仿宋_GB2312" w:hAnsi="宋体" w:eastAsia="仿宋_GB2312" w:cs="宋体"/>
          <w:sz w:val="32"/>
          <w:szCs w:val="32"/>
        </w:rPr>
        <w:t>县级以上建设主管部门应当发布不良信息，内容应包括被认定不良信息的各方主体和从业人员的基础信息、违法违规具体事实、认定依据、公布期限及起止日期等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”。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三、第十二条第（三）项修改为“</w:t>
      </w:r>
      <w:r>
        <w:rPr>
          <w:rFonts w:hint="eastAsia" w:ascii="仿宋_GB2312" w:hAnsi="宋体" w:eastAsia="仿宋_GB2312" w:cs="宋体"/>
          <w:sz w:val="32"/>
          <w:szCs w:val="32"/>
        </w:rPr>
        <w:t>不良信息的发布期限为6</w:t>
      </w:r>
      <w:r>
        <w:rPr>
          <w:rFonts w:hint="eastAsia" w:ascii="仿宋_GB2312" w:hAnsi="仿宋_GB2312" w:eastAsia="仿宋_GB2312"/>
          <w:sz w:val="32"/>
          <w:szCs w:val="32"/>
        </w:rPr>
        <w:t>个月至3年，并不得低于相关的行政处罚、行政处理期限，具体发布期限由不良信用信息的</w:t>
      </w:r>
      <w:r>
        <w:rPr>
          <w:rFonts w:hint="eastAsia" w:ascii="仿宋_GB2312" w:hAnsi="宋体" w:eastAsia="仿宋_GB2312" w:cs="宋体"/>
          <w:sz w:val="32"/>
          <w:szCs w:val="32"/>
        </w:rPr>
        <w:t>认定部门确定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四、第十六条修改为“设区市</w:t>
      </w:r>
      <w:r>
        <w:rPr>
          <w:rFonts w:hint="eastAsia" w:ascii="仿宋_GB2312" w:hAnsi="仿宋_GB2312" w:eastAsia="仿宋_GB2312"/>
          <w:sz w:val="32"/>
          <w:szCs w:val="32"/>
        </w:rPr>
        <w:t>建设主管部门可以结合本地实际情况，开展建筑市场信用评价工作</w:t>
      </w:r>
      <w:r>
        <w:rPr>
          <w:rFonts w:hint="eastAsia" w:ascii="仿宋_GB2312" w:hAnsi="宋体" w:eastAsia="仿宋_GB2312" w:cs="宋体"/>
          <w:sz w:val="32"/>
          <w:szCs w:val="32"/>
        </w:rPr>
        <w:t>”。</w:t>
      </w:r>
    </w:p>
    <w:p/>
    <w:sectPr>
      <w:pgSz w:w="11906" w:h="16838"/>
      <w:pgMar w:top="2268" w:right="124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33CB8"/>
    <w:rsid w:val="46C33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2020-06-16T08:38:00Z</dcterms:created>
  <dc:creator>朱开心</dc:creator>
  <cp:lastModifiedBy>朱开心</cp:lastModifiedBy>
  <dcterms:modified xsi:type="dcterms:W3CDTF">2020-06-16T08:39:07Z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