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pacing w:line="600" w:lineRule="exact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color w:val="000000"/>
          <w:sz w:val="36"/>
          <w:szCs w:val="36"/>
        </w:rPr>
        <w:t>建筑业企业“双随机”检查情况记录表</w:t>
      </w:r>
    </w:p>
    <w:p>
      <w:pPr>
        <w:adjustRightInd w:val="0"/>
        <w:spacing w:line="3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adjustRightInd w:val="0"/>
        <w:spacing w:line="600" w:lineRule="exact"/>
        <w:jc w:val="left"/>
        <w:rPr>
          <w:rFonts w:hint="eastAsia" w:hAnsi="宋体"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被检查单位</w:t>
      </w:r>
      <w:r>
        <w:rPr>
          <w:rFonts w:hint="eastAsia" w:hAnsi="宋体"/>
          <w:color w:val="000000"/>
          <w:sz w:val="24"/>
        </w:rPr>
        <w:t>：</w:t>
      </w:r>
      <w:r>
        <w:rPr>
          <w:rFonts w:hint="eastAsia" w:hAnsi="宋体"/>
          <w:color w:val="000000"/>
          <w:sz w:val="24"/>
          <w:u w:val="single"/>
        </w:rPr>
        <w:t xml:space="preserve">                             </w:t>
      </w:r>
      <w:r>
        <w:rPr>
          <w:rFonts w:hint="eastAsia" w:hAnsi="宋体"/>
          <w:b/>
          <w:color w:val="000000"/>
          <w:sz w:val="24"/>
        </w:rPr>
        <w:t>法人代表及联系方式</w:t>
      </w:r>
      <w:r>
        <w:rPr>
          <w:rFonts w:hint="eastAsia" w:hAnsi="宋体"/>
          <w:color w:val="000000"/>
          <w:sz w:val="24"/>
        </w:rPr>
        <w:t>：</w:t>
      </w:r>
      <w:r>
        <w:rPr>
          <w:rFonts w:hint="eastAsia" w:hAnsi="宋体"/>
          <w:color w:val="000000"/>
          <w:sz w:val="24"/>
          <w:u w:val="single"/>
        </w:rPr>
        <w:t xml:space="preserve">                   </w:t>
      </w:r>
    </w:p>
    <w:p>
      <w:pPr>
        <w:adjustRightInd w:val="0"/>
        <w:spacing w:line="600" w:lineRule="exact"/>
        <w:jc w:val="left"/>
        <w:rPr>
          <w:rFonts w:hint="eastAsia" w:hAnsi="宋体"/>
          <w:color w:val="000000"/>
          <w:sz w:val="24"/>
          <w:u w:val="single"/>
        </w:rPr>
      </w:pPr>
      <w:r>
        <w:rPr>
          <w:rFonts w:hint="eastAsia" w:hAnsi="宋体"/>
          <w:b/>
          <w:color w:val="000000"/>
          <w:sz w:val="24"/>
        </w:rPr>
        <w:t>现有资质</w:t>
      </w:r>
      <w:r>
        <w:rPr>
          <w:rFonts w:hint="eastAsia" w:hAnsi="宋体"/>
          <w:color w:val="000000"/>
          <w:sz w:val="24"/>
        </w:rPr>
        <w:t>：</w:t>
      </w:r>
      <w:r>
        <w:rPr>
          <w:rFonts w:hint="eastAsia" w:hAnsi="宋体"/>
          <w:color w:val="000000"/>
          <w:sz w:val="24"/>
          <w:u w:val="single"/>
        </w:rPr>
        <w:t xml:space="preserve">                                                                       </w:t>
      </w:r>
    </w:p>
    <w:p>
      <w:pPr>
        <w:adjustRightInd w:val="0"/>
        <w:spacing w:line="600" w:lineRule="exact"/>
        <w:jc w:val="left"/>
        <w:rPr>
          <w:rFonts w:hint="eastAsia" w:hAnsi="宋体"/>
          <w:color w:val="000000"/>
          <w:sz w:val="24"/>
          <w:u w:val="single"/>
        </w:rPr>
      </w:pPr>
      <w:r>
        <w:rPr>
          <w:rFonts w:hint="eastAsia" w:hAnsi="宋体"/>
          <w:color w:val="000000"/>
          <w:sz w:val="24"/>
        </w:rPr>
        <w:t xml:space="preserve">          </w:t>
      </w:r>
      <w:r>
        <w:rPr>
          <w:rFonts w:hint="eastAsia" w:hAnsi="宋体"/>
          <w:color w:val="000000"/>
          <w:sz w:val="24"/>
          <w:u w:val="single"/>
        </w:rPr>
        <w:t xml:space="preserve">                                                                        </w:t>
      </w:r>
    </w:p>
    <w:tbl>
      <w:tblPr>
        <w:tblStyle w:val="4"/>
        <w:tblW w:w="5456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57"/>
        <w:gridCol w:w="1268"/>
        <w:gridCol w:w="137"/>
        <w:gridCol w:w="1545"/>
        <w:gridCol w:w="1164"/>
        <w:gridCol w:w="1170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指标类别</w:t>
            </w: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序号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检查指标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检查标准</w:t>
            </w: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检查认定</w:t>
            </w:r>
          </w:p>
        </w:tc>
        <w:tc>
          <w:tcPr>
            <w:tcW w:w="156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发现问题情况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现有资质情况</w:t>
            </w: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净资产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jc w:val="lef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  <w:u w:val="single"/>
              </w:rPr>
            </w:pPr>
            <w:r>
              <w:rPr>
                <w:rFonts w:hint="eastAsia" w:hAnsi="黑体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hAnsi="黑体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2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技术负责人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3</w:t>
            </w:r>
          </w:p>
        </w:tc>
        <w:tc>
          <w:tcPr>
            <w:tcW w:w="683" w:type="pct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主要人员</w:t>
            </w:r>
          </w:p>
        </w:tc>
        <w:tc>
          <w:tcPr>
            <w:tcW w:w="907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建造师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4</w:t>
            </w:r>
          </w:p>
        </w:tc>
        <w:tc>
          <w:tcPr>
            <w:tcW w:w="683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现场管理人员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5</w:t>
            </w:r>
          </w:p>
        </w:tc>
        <w:tc>
          <w:tcPr>
            <w:tcW w:w="683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职称人员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6</w:t>
            </w:r>
          </w:p>
        </w:tc>
        <w:tc>
          <w:tcPr>
            <w:tcW w:w="683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907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技术工人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7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办公场所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  <w:highlight w:val="yellow"/>
              </w:rPr>
            </w:pPr>
            <w:r>
              <w:rPr>
                <w:rFonts w:hint="eastAsia" w:hAnsi="黑体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ind w:firstLine="105" w:firstLineChars="50"/>
              <w:rPr>
                <w:rFonts w:hint="eastAsia" w:hAnsi="黑体"/>
                <w:color w:val="000000"/>
                <w:szCs w:val="21"/>
                <w:highlight w:val="yellow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8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技术装备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ind w:firstLine="105" w:firstLineChars="50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9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建筑业企业资质证书是否有效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企业管理情况</w:t>
            </w: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10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经营管理制度文件是否齐全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  <w:u w:val="single"/>
              </w:rPr>
            </w:pPr>
            <w:r>
              <w:rPr>
                <w:rFonts w:hint="eastAsia" w:hAnsi="黑体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hAnsi="黑体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11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月度快报是否如实、按时上报（施工总承包和专业承包一级及以上企业）</w:t>
            </w:r>
          </w:p>
        </w:tc>
        <w:tc>
          <w:tcPr>
            <w:tcW w:w="627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有□无□</w:t>
            </w:r>
          </w:p>
        </w:tc>
        <w:tc>
          <w:tcPr>
            <w:tcW w:w="630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12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上报统计局报表是否如实、按时上报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13</w:t>
            </w:r>
          </w:p>
        </w:tc>
        <w:tc>
          <w:tcPr>
            <w:tcW w:w="758" w:type="pct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“浙江省建筑市场监管与诚信信息平台”数据录入情况</w:t>
            </w: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抽查人员录入是否属实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14</w:t>
            </w:r>
          </w:p>
        </w:tc>
        <w:tc>
          <w:tcPr>
            <w:tcW w:w="758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</w:p>
        </w:tc>
        <w:tc>
          <w:tcPr>
            <w:tcW w:w="831" w:type="pct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实地抽查工程项目是否属实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 w:val="24"/>
              </w:rPr>
            </w:pPr>
            <w:r>
              <w:rPr>
                <w:rFonts w:hint="eastAsia" w:hAnsi="黑体"/>
                <w:b/>
                <w:color w:val="000000"/>
                <w:sz w:val="24"/>
              </w:rPr>
              <w:t>企业市场行为</w:t>
            </w: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15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Style w:val="6"/>
                <w:rFonts w:hint="eastAsia" w:hAnsi="仿宋"/>
                <w:b w:val="0"/>
                <w:szCs w:val="21"/>
              </w:rPr>
              <w:t>是否存在不良行为信息记录，是否存在《建筑业企业资质管理规定》第二十三条所列违法、违规行为（以相关部门的处罚为依据）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无□ 有□</w:t>
            </w: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  <w:u w:val="single"/>
              </w:rPr>
            </w:pPr>
            <w:r>
              <w:rPr>
                <w:rFonts w:hint="eastAsia" w:hAnsi="黑体"/>
                <w:color w:val="000000"/>
                <w:szCs w:val="21"/>
              </w:rPr>
              <w:t>情况说明：</w:t>
            </w:r>
          </w:p>
          <w:p>
            <w:pPr>
              <w:adjustRightInd w:val="0"/>
              <w:spacing w:line="360" w:lineRule="exact"/>
              <w:rPr>
                <w:rFonts w:hAnsi="黑体"/>
                <w:color w:val="000000"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16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Style w:val="6"/>
                <w:rFonts w:hint="eastAsia" w:hAnsi="仿宋"/>
                <w:b w:val="0"/>
                <w:szCs w:val="21"/>
              </w:rPr>
              <w:t>是否存在《建筑业企业资质管理规定》第二十九条情形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17</w:t>
            </w:r>
          </w:p>
        </w:tc>
        <w:tc>
          <w:tcPr>
            <w:tcW w:w="1590" w:type="pct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Style w:val="6"/>
                <w:rFonts w:hint="eastAsia" w:hAnsi="仿宋"/>
                <w:b w:val="0"/>
                <w:szCs w:val="21"/>
              </w:rPr>
              <w:t>是否按照《建筑业企业资质管理规定》及时办理建筑业企业资质证书变更手续</w:t>
            </w:r>
          </w:p>
        </w:tc>
        <w:tc>
          <w:tcPr>
            <w:tcW w:w="125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Fonts w:hint="eastAsia" w:hAnsi="黑体"/>
                <w:color w:val="000000"/>
                <w:szCs w:val="21"/>
              </w:rPr>
              <w:t>是□    否□</w:t>
            </w:r>
          </w:p>
        </w:tc>
        <w:tc>
          <w:tcPr>
            <w:tcW w:w="1568" w:type="pct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58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Cs w:val="21"/>
              </w:rPr>
            </w:pPr>
            <w:r>
              <w:rPr>
                <w:rFonts w:hint="eastAsia" w:hAnsi="黑体"/>
                <w:b/>
                <w:color w:val="000000"/>
                <w:szCs w:val="21"/>
              </w:rPr>
              <w:t>要求提供材料</w:t>
            </w:r>
          </w:p>
        </w:tc>
        <w:tc>
          <w:tcPr>
            <w:tcW w:w="4414" w:type="pct"/>
            <w:gridSpan w:val="6"/>
            <w:shd w:val="clear" w:color="auto" w:fill="auto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□当期财务报表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□抽查到的相关人员证书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□标准中要求的办公场所证明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□标准中要求的厂房证明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□标准中要求的主要设备购置发票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□有关质量管理、安全生产管理、合同管理、档案管理、财务管理等企业内部管理制度文件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□其他___________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8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Cs w:val="21"/>
              </w:rPr>
            </w:pPr>
            <w:r>
              <w:rPr>
                <w:rFonts w:hint="eastAsia" w:hAnsi="黑体"/>
                <w:b/>
                <w:color w:val="000000"/>
                <w:szCs w:val="21"/>
              </w:rPr>
              <w:t>其他情况说明</w:t>
            </w:r>
          </w:p>
        </w:tc>
        <w:tc>
          <w:tcPr>
            <w:tcW w:w="4414" w:type="pct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Style w:val="6"/>
                <w:rFonts w:hint="eastAsia" w:ascii="宋体" w:hAnsi="宋体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6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Cs w:val="21"/>
              </w:rPr>
            </w:pPr>
            <w:r>
              <w:rPr>
                <w:rFonts w:hint="eastAsia" w:hAnsi="黑体"/>
                <w:b/>
                <w:color w:val="000000"/>
                <w:szCs w:val="21"/>
              </w:rPr>
              <w:t>检查结果</w:t>
            </w:r>
          </w:p>
        </w:tc>
        <w:tc>
          <w:tcPr>
            <w:tcW w:w="4414" w:type="pct"/>
            <w:gridSpan w:val="6"/>
            <w:shd w:val="clear" w:color="auto" w:fill="auto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□通过登记的住所（经营场所）无法联系    □注销 □被吊销 □被撤销 □迁出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□已关闭停业或正在组织清算              □不配合检查情节严重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□发现问题经责令已改正                  □检查中存在弄虚作假行为                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□不符合资质标准要求需责令整改          □未发现问题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86" w:type="pct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Cs w:val="21"/>
              </w:rPr>
            </w:pPr>
            <w:r>
              <w:rPr>
                <w:rFonts w:hint="eastAsia" w:hAnsi="黑体"/>
                <w:b/>
                <w:color w:val="000000"/>
                <w:szCs w:val="21"/>
              </w:rPr>
              <w:t>检查会签栏</w:t>
            </w:r>
          </w:p>
        </w:tc>
        <w:tc>
          <w:tcPr>
            <w:tcW w:w="4414" w:type="pct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Style w:val="6"/>
                <w:rFonts w:hint="eastAsia" w:hAnsi="仿宋"/>
                <w:b w:val="0"/>
                <w:szCs w:val="21"/>
              </w:rPr>
            </w:pPr>
            <w:r>
              <w:rPr>
                <w:rStyle w:val="6"/>
                <w:rFonts w:hint="eastAsia" w:hAnsi="仿宋"/>
                <w:b w:val="0"/>
                <w:szCs w:val="21"/>
              </w:rPr>
              <w:t>企业负责人签名：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86" w:type="pct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hAnsi="黑体"/>
                <w:b/>
                <w:color w:val="000000"/>
                <w:szCs w:val="21"/>
              </w:rPr>
            </w:pPr>
          </w:p>
        </w:tc>
        <w:tc>
          <w:tcPr>
            <w:tcW w:w="4414" w:type="pct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hint="eastAsia" w:hAnsi="黑体"/>
                <w:color w:val="000000"/>
                <w:szCs w:val="21"/>
              </w:rPr>
            </w:pPr>
            <w:r>
              <w:rPr>
                <w:rStyle w:val="6"/>
                <w:rFonts w:hint="eastAsia" w:hAnsi="仿宋"/>
                <w:b w:val="0"/>
                <w:szCs w:val="21"/>
              </w:rPr>
              <w:t>检查组签名：                              日期：</w:t>
            </w:r>
          </w:p>
        </w:tc>
      </w:tr>
    </w:tbl>
    <w:p>
      <w:pPr>
        <w:adjustRightInd w:val="0"/>
        <w:rPr>
          <w:rStyle w:val="6"/>
          <w:rFonts w:hint="eastAsia" w:ascii="宋体" w:hAnsi="宋体"/>
          <w:b w:val="0"/>
          <w:color w:val="000000"/>
          <w:szCs w:val="21"/>
        </w:rPr>
      </w:pPr>
      <w:r>
        <w:rPr>
          <w:rStyle w:val="6"/>
          <w:rFonts w:hint="eastAsia" w:ascii="宋体" w:hAnsi="宋体"/>
          <w:b w:val="0"/>
          <w:color w:val="000000"/>
          <w:szCs w:val="21"/>
        </w:rPr>
        <w:t>注：</w:t>
      </w:r>
    </w:p>
    <w:p>
      <w:pPr>
        <w:adjustRightInd w:val="0"/>
        <w:rPr>
          <w:rStyle w:val="6"/>
          <w:rFonts w:hint="eastAsia" w:ascii="宋体" w:hAnsi="宋体"/>
          <w:b w:val="0"/>
          <w:color w:val="000000"/>
          <w:szCs w:val="21"/>
        </w:rPr>
      </w:pPr>
      <w:r>
        <w:rPr>
          <w:rStyle w:val="6"/>
          <w:rFonts w:hint="eastAsia" w:ascii="宋体" w:hAnsi="宋体"/>
          <w:b w:val="0"/>
          <w:color w:val="000000"/>
          <w:szCs w:val="21"/>
        </w:rPr>
        <w:t>1.净资产按企业最高等级资质标准要求填写；</w:t>
      </w:r>
    </w:p>
    <w:p>
      <w:pPr>
        <w:adjustRightInd w:val="0"/>
        <w:rPr>
          <w:rFonts w:hint="eastAsia" w:ascii="宋体" w:hAnsi="宋体"/>
          <w:color w:val="000000"/>
          <w:szCs w:val="21"/>
        </w:rPr>
      </w:pPr>
      <w:r>
        <w:rPr>
          <w:rStyle w:val="6"/>
          <w:rFonts w:hint="eastAsia" w:ascii="宋体" w:hAnsi="宋体"/>
          <w:b w:val="0"/>
          <w:color w:val="000000"/>
          <w:szCs w:val="21"/>
        </w:rPr>
        <w:t>2.主要人员情况：企业若有最低等级资质的，填写标准要求人员；无最低等级资质的，“检查标准”填写“无”；现有人员按实际入库人员认定；</w:t>
      </w:r>
    </w:p>
    <w:p>
      <w:pPr>
        <w:adjustRightInd w:val="0"/>
        <w:rPr>
          <w:rFonts w:hint="eastAsia" w:ascii="宋体" w:hAnsi="宋体"/>
          <w:color w:val="000000"/>
          <w:szCs w:val="21"/>
        </w:rPr>
      </w:pPr>
      <w:r>
        <w:rPr>
          <w:rStyle w:val="6"/>
          <w:rFonts w:hint="eastAsia" w:ascii="宋体" w:hAnsi="宋体"/>
          <w:b w:val="0"/>
          <w:color w:val="000000"/>
          <w:szCs w:val="21"/>
        </w:rPr>
        <w:t>3.特级企业按照《施工总承包企业特级资质标准》考核净资产、注册建造师等指标。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482D"/>
    <w:rsid w:val="0D584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uiPriority w:val="0"/>
    <w:pPr>
      <w:widowControl/>
      <w:spacing w:after="160"/>
      <w:ind w:firstLine="250" w:firstLineChars="250"/>
      <w:jc w:val="left"/>
    </w:pPr>
    <w:rPr>
      <w:rFonts w:ascii="微软雅黑" w:hAnsi="微软雅黑" w:eastAsia="微软雅黑" w:cs="微软雅黑"/>
      <w:color w:val="000000"/>
      <w:kern w:val="0"/>
      <w:sz w:val="20"/>
      <w:szCs w:val="21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朱开心</dc:creator>
  <cp:lastModifiedBy>朱开心</cp:lastModifiedBy>
  <dcterms:modified xsi:type="dcterms:W3CDTF">2019-11-04T02:15:40Z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