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
    <w:p/>
    <w:p/>
    <w:p/>
    <w:p>
      <w:pPr>
        <w:spacing w:line="360" w:lineRule="auto"/>
        <w:jc w:val="center"/>
        <w:rPr>
          <w:rFonts w:ascii="Times New Roman" w:hAnsi="Times New Roman" w:eastAsia="宋体" w:cs="Times New Roman"/>
          <w:b/>
          <w:bCs/>
          <w:sz w:val="36"/>
          <w:szCs w:val="36"/>
        </w:rPr>
      </w:pPr>
      <w:bookmarkStart w:id="0" w:name="_Toc34083576"/>
      <w:bookmarkStart w:id="1" w:name="_Toc25169411"/>
      <w:bookmarkStart w:id="2" w:name="_Toc25330896"/>
      <w:bookmarkStart w:id="3" w:name="_Toc25331039"/>
      <w:r>
        <w:rPr>
          <w:rFonts w:hint="eastAsia" w:ascii="Times New Roman" w:hAnsi="Times New Roman" w:eastAsia="宋体" w:cs="Times New Roman"/>
          <w:b/>
          <w:bCs/>
          <w:sz w:val="36"/>
          <w:szCs w:val="36"/>
        </w:rPr>
        <w:t>农村生活污水水质检</w:t>
      </w:r>
      <w:bookmarkStart w:id="57" w:name="_GoBack"/>
      <w:bookmarkEnd w:id="57"/>
      <w:r>
        <w:rPr>
          <w:rFonts w:hint="eastAsia" w:ascii="Times New Roman" w:hAnsi="Times New Roman" w:eastAsia="宋体" w:cs="Times New Roman"/>
          <w:b/>
          <w:bCs/>
          <w:sz w:val="36"/>
          <w:szCs w:val="36"/>
        </w:rPr>
        <w:t>测化验室建设导则</w:t>
      </w:r>
      <w:bookmarkEnd w:id="0"/>
      <w:bookmarkEnd w:id="1"/>
      <w:bookmarkEnd w:id="2"/>
      <w:bookmarkEnd w:id="3"/>
    </w:p>
    <w:p>
      <w:pPr>
        <w:spacing w:line="360" w:lineRule="auto"/>
        <w:jc w:val="center"/>
        <w:rPr>
          <w:rFonts w:ascii="Times New Roman" w:hAnsi="Times New Roman" w:eastAsia="宋体" w:cs="Times New Roman"/>
          <w:bCs/>
          <w:color w:val="FF0000"/>
          <w:sz w:val="24"/>
          <w:shd w:val="clear" w:color="auto" w:fill="FFFFFF"/>
        </w:rPr>
      </w:pPr>
      <w:r>
        <w:rPr>
          <w:rFonts w:hint="eastAsia"/>
        </w:rPr>
        <w:t>G</w:t>
      </w:r>
      <w:r>
        <w:t>uideline for laboratory construction of rural domestic sewage detection</w:t>
      </w:r>
    </w:p>
    <w:p>
      <w:pPr>
        <w:spacing w:line="324" w:lineRule="auto"/>
        <w:ind w:firstLine="560" w:firstLineChars="200"/>
        <w:rPr>
          <w:sz w:val="28"/>
          <w:szCs w:val="28"/>
        </w:rPr>
      </w:pPr>
    </w:p>
    <w:p>
      <w:pPr>
        <w:spacing w:line="324" w:lineRule="auto"/>
        <w:ind w:firstLine="560" w:firstLineChars="200"/>
        <w:rPr>
          <w:sz w:val="28"/>
          <w:szCs w:val="28"/>
        </w:rPr>
      </w:pPr>
    </w:p>
    <w:p>
      <w:pPr>
        <w:spacing w:line="324" w:lineRule="auto"/>
        <w:ind w:firstLine="560" w:firstLineChars="200"/>
        <w:rPr>
          <w:sz w:val="28"/>
          <w:szCs w:val="28"/>
        </w:rPr>
      </w:pPr>
    </w:p>
    <w:p>
      <w:pPr>
        <w:spacing w:line="324" w:lineRule="auto"/>
        <w:ind w:firstLine="560" w:firstLineChars="200"/>
        <w:rPr>
          <w:sz w:val="28"/>
          <w:szCs w:val="28"/>
        </w:rPr>
      </w:pPr>
    </w:p>
    <w:p>
      <w:pPr>
        <w:spacing w:line="324" w:lineRule="auto"/>
        <w:ind w:firstLine="560" w:firstLineChars="200"/>
        <w:rPr>
          <w:sz w:val="28"/>
          <w:szCs w:val="28"/>
        </w:rPr>
      </w:pPr>
    </w:p>
    <w:p>
      <w:pPr>
        <w:spacing w:line="324" w:lineRule="auto"/>
        <w:ind w:firstLine="560" w:firstLineChars="200"/>
        <w:rPr>
          <w:sz w:val="28"/>
          <w:szCs w:val="28"/>
        </w:rPr>
      </w:pPr>
    </w:p>
    <w:p>
      <w:pPr>
        <w:spacing w:line="324" w:lineRule="auto"/>
        <w:ind w:firstLine="560" w:firstLineChars="200"/>
        <w:rPr>
          <w:sz w:val="28"/>
          <w:szCs w:val="28"/>
        </w:rPr>
      </w:pPr>
    </w:p>
    <w:p>
      <w:pPr>
        <w:spacing w:line="324" w:lineRule="auto"/>
        <w:ind w:firstLine="560" w:firstLineChars="200"/>
        <w:rPr>
          <w:sz w:val="28"/>
          <w:szCs w:val="28"/>
        </w:rPr>
      </w:pPr>
    </w:p>
    <w:p>
      <w:pPr>
        <w:spacing w:line="324" w:lineRule="auto"/>
        <w:ind w:firstLine="560" w:firstLineChars="200"/>
        <w:rPr>
          <w:sz w:val="28"/>
          <w:szCs w:val="28"/>
        </w:rPr>
      </w:pPr>
    </w:p>
    <w:p>
      <w:pPr>
        <w:spacing w:line="324" w:lineRule="auto"/>
        <w:ind w:firstLine="560" w:firstLineChars="200"/>
        <w:rPr>
          <w:sz w:val="28"/>
          <w:szCs w:val="28"/>
        </w:rPr>
      </w:pPr>
    </w:p>
    <w:p>
      <w:pPr>
        <w:spacing w:line="324" w:lineRule="auto"/>
        <w:ind w:firstLine="560" w:firstLineChars="200"/>
        <w:rPr>
          <w:sz w:val="28"/>
          <w:szCs w:val="28"/>
        </w:rPr>
      </w:pPr>
    </w:p>
    <w:p>
      <w:pPr>
        <w:spacing w:line="360" w:lineRule="auto"/>
        <w:jc w:val="center"/>
        <w:rPr>
          <w:rFonts w:ascii="Times New Roman" w:hAnsi="Times New Roman"/>
          <w:b/>
          <w:bCs/>
          <w:sz w:val="30"/>
          <w:szCs w:val="30"/>
        </w:rPr>
      </w:pPr>
      <w:bookmarkStart w:id="4" w:name="_Toc19311"/>
      <w:r>
        <w:rPr>
          <w:rFonts w:hint="eastAsia" w:ascii="Times New Roman" w:hAnsi="Times New Roman"/>
          <w:b/>
          <w:bCs/>
          <w:sz w:val="30"/>
          <w:szCs w:val="30"/>
        </w:rPr>
        <w:t>浙江省住房和城乡建设厅发布</w:t>
      </w:r>
      <w:bookmarkEnd w:id="4"/>
    </w:p>
    <w:p>
      <w:pPr>
        <w:spacing w:line="360" w:lineRule="auto"/>
        <w:jc w:val="center"/>
        <w:rPr>
          <w:rFonts w:hint="default" w:ascii="Times New Roman" w:hAnsi="Times New Roman"/>
          <w:b/>
          <w:bCs/>
          <w:sz w:val="30"/>
          <w:szCs w:val="30"/>
          <w:lang w:val="en-US" w:eastAsia="zh-CN"/>
        </w:rPr>
      </w:pPr>
      <w:r>
        <w:rPr>
          <w:rFonts w:hint="eastAsia" w:ascii="Times New Roman" w:hAnsi="Times New Roman"/>
          <w:b/>
          <w:bCs/>
          <w:sz w:val="30"/>
          <w:szCs w:val="30"/>
          <w:lang w:val="en-US" w:eastAsia="zh-CN"/>
        </w:rPr>
        <w:t>2020年3月</w:t>
      </w:r>
    </w:p>
    <w:p>
      <w:pPr>
        <w:widowControl/>
        <w:jc w:val="left"/>
        <w:rPr>
          <w:rFonts w:ascii="黑体" w:hAnsi="黑体" w:eastAsia="黑体"/>
          <w:b/>
          <w:bCs/>
          <w:kern w:val="44"/>
          <w:sz w:val="32"/>
          <w:szCs w:val="32"/>
        </w:rPr>
      </w:pPr>
      <w:bookmarkStart w:id="5" w:name="_Toc25331040"/>
      <w:bookmarkStart w:id="6" w:name="_Toc25169412"/>
      <w:bookmarkStart w:id="7" w:name="_Toc34083577"/>
      <w:r>
        <w:rPr>
          <w:rFonts w:ascii="黑体" w:hAnsi="黑体" w:eastAsia="黑体"/>
          <w:bCs/>
          <w:sz w:val="32"/>
          <w:szCs w:val="32"/>
        </w:rPr>
        <w:br w:type="page"/>
      </w:r>
    </w:p>
    <w:p>
      <w:pPr>
        <w:pStyle w:val="2"/>
        <w:spacing w:before="0" w:after="0"/>
        <w:jc w:val="center"/>
        <w:rPr>
          <w:rFonts w:ascii="黑体" w:hAnsi="黑体" w:eastAsia="黑体" w:cs="黑体"/>
          <w:sz w:val="32"/>
          <w:szCs w:val="32"/>
        </w:rPr>
      </w:pPr>
      <w:r>
        <w:rPr>
          <w:rFonts w:hint="eastAsia" w:ascii="黑体" w:hAnsi="黑体" w:eastAsia="黑体" w:cs="黑体"/>
          <w:sz w:val="32"/>
          <w:szCs w:val="32"/>
        </w:rPr>
        <w:t xml:space="preserve">前 </w:t>
      </w:r>
      <w:r>
        <w:rPr>
          <w:rFonts w:ascii="黑体" w:hAnsi="黑体" w:eastAsia="黑体" w:cs="黑体"/>
          <w:sz w:val="32"/>
          <w:szCs w:val="32"/>
        </w:rPr>
        <w:t xml:space="preserve">  </w:t>
      </w:r>
      <w:r>
        <w:rPr>
          <w:rFonts w:hint="eastAsia" w:ascii="黑体" w:hAnsi="黑体" w:eastAsia="黑体" w:cs="黑体"/>
          <w:sz w:val="32"/>
          <w:szCs w:val="32"/>
        </w:rPr>
        <w:t xml:space="preserve"> 言</w:t>
      </w:r>
      <w:bookmarkEnd w:id="5"/>
      <w:bookmarkEnd w:id="6"/>
      <w:bookmarkEnd w:id="7"/>
    </w:p>
    <w:p>
      <w:pPr>
        <w:spacing w:line="460" w:lineRule="exact"/>
        <w:ind w:firstLine="420" w:firstLineChars="200"/>
        <w:jc w:val="left"/>
        <w:rPr>
          <w:rFonts w:ascii="宋体" w:hAnsi="宋体" w:eastAsia="宋体" w:cs="宋体"/>
          <w:szCs w:val="21"/>
        </w:rPr>
      </w:pPr>
      <w:r>
        <w:rPr>
          <w:rFonts w:hint="eastAsia" w:ascii="宋体" w:hAnsi="宋体" w:eastAsia="宋体" w:cs="宋体"/>
          <w:szCs w:val="21"/>
        </w:rPr>
        <w:t>为贯彻落实《浙江省农村生活污水处理设施管理条例》，按照《浙江省人民政府办公厅关于加强农村生活污水治理设施运行维护管理的意见（浙政办发〔20</w:t>
      </w:r>
      <w:r>
        <w:rPr>
          <w:rFonts w:ascii="宋体" w:hAnsi="宋体" w:eastAsia="宋体" w:cs="宋体"/>
          <w:szCs w:val="21"/>
        </w:rPr>
        <w:t>15</w:t>
      </w:r>
      <w:r>
        <w:rPr>
          <w:rFonts w:hint="eastAsia" w:ascii="宋体" w:hAnsi="宋体" w:eastAsia="宋体" w:cs="宋体"/>
          <w:szCs w:val="21"/>
        </w:rPr>
        <w:t>〕86号）》的要求，指导农村生活污水处理设施运维服务机构水质检测化验室的规范建设，制定本导则。</w:t>
      </w:r>
    </w:p>
    <w:p>
      <w:pPr>
        <w:spacing w:line="460" w:lineRule="exact"/>
        <w:ind w:firstLine="420" w:firstLineChars="200"/>
        <w:jc w:val="left"/>
        <w:rPr>
          <w:rFonts w:ascii="宋体" w:hAnsi="宋体" w:eastAsia="宋体" w:cs="宋体"/>
          <w:szCs w:val="21"/>
        </w:rPr>
      </w:pPr>
      <w:r>
        <w:rPr>
          <w:rFonts w:hint="eastAsia" w:ascii="宋体" w:hAnsi="宋体" w:eastAsia="宋体" w:cs="宋体"/>
          <w:szCs w:val="21"/>
        </w:rPr>
        <w:t>本导则为首次发布。</w:t>
      </w:r>
    </w:p>
    <w:p>
      <w:pPr>
        <w:spacing w:line="460" w:lineRule="exact"/>
        <w:ind w:firstLine="420" w:firstLineChars="200"/>
        <w:jc w:val="left"/>
        <w:rPr>
          <w:rFonts w:ascii="宋体" w:hAnsi="宋体" w:eastAsia="宋体" w:cs="宋体"/>
          <w:szCs w:val="21"/>
        </w:rPr>
      </w:pPr>
      <w:r>
        <w:rPr>
          <w:rFonts w:hint="eastAsia" w:ascii="宋体" w:hAnsi="宋体" w:eastAsia="宋体" w:cs="宋体"/>
          <w:szCs w:val="21"/>
        </w:rPr>
        <w:t>本导则由浙江省住房和城乡建设厅提出并归口。</w:t>
      </w:r>
    </w:p>
    <w:p>
      <w:pPr>
        <w:spacing w:line="460" w:lineRule="exact"/>
        <w:ind w:firstLine="420" w:firstLineChars="200"/>
        <w:jc w:val="left"/>
        <w:rPr>
          <w:rFonts w:ascii="宋体" w:hAnsi="宋体" w:eastAsia="宋体" w:cs="宋体"/>
          <w:szCs w:val="21"/>
        </w:rPr>
      </w:pPr>
      <w:r>
        <w:rPr>
          <w:rFonts w:hint="eastAsia" w:ascii="宋体" w:hAnsi="宋体" w:eastAsia="宋体" w:cs="宋体"/>
          <w:szCs w:val="21"/>
        </w:rPr>
        <w:t>本导则主要起草单位：浙江省建筑科学设计研究院有限公司、浙江省环境保护科学设计研究院、浙江求实环境监测有限公司</w:t>
      </w:r>
    </w:p>
    <w:p>
      <w:pPr>
        <w:spacing w:line="460" w:lineRule="exact"/>
        <w:ind w:firstLine="420" w:firstLineChars="200"/>
        <w:jc w:val="left"/>
        <w:rPr>
          <w:rFonts w:hint="default" w:ascii="宋体" w:hAnsi="宋体" w:eastAsia="宋体" w:cs="宋体"/>
          <w:szCs w:val="21"/>
          <w:lang w:val="en-US" w:eastAsia="zh-CN"/>
        </w:rPr>
      </w:pPr>
      <w:r>
        <w:rPr>
          <w:rFonts w:hint="eastAsia" w:ascii="宋体" w:hAnsi="宋体" w:eastAsia="宋体" w:cs="宋体"/>
          <w:szCs w:val="21"/>
        </w:rPr>
        <w:t>参编单位</w:t>
      </w:r>
      <w:r>
        <w:rPr>
          <w:rFonts w:ascii="宋体" w:hAnsi="宋体" w:eastAsia="宋体" w:cs="宋体"/>
          <w:szCs w:val="21"/>
        </w:rPr>
        <w:t>：</w:t>
      </w:r>
      <w:r>
        <w:rPr>
          <w:rFonts w:hint="eastAsia" w:ascii="宋体" w:hAnsi="宋体" w:eastAsia="宋体" w:cs="宋体"/>
          <w:szCs w:val="21"/>
        </w:rPr>
        <w:t>浙江农翰科技有限公司</w:t>
      </w:r>
      <w:r>
        <w:rPr>
          <w:rFonts w:hint="eastAsia" w:ascii="宋体" w:hAnsi="宋体" w:eastAsia="宋体" w:cs="宋体"/>
          <w:szCs w:val="21"/>
          <w:lang w:eastAsia="zh-CN"/>
        </w:rPr>
        <w:t>、</w:t>
      </w:r>
      <w:r>
        <w:rPr>
          <w:rFonts w:hint="eastAsia" w:ascii="宋体" w:hAnsi="宋体" w:eastAsia="宋体" w:cs="宋体"/>
          <w:szCs w:val="21"/>
          <w:lang w:val="en-US" w:eastAsia="zh-CN"/>
        </w:rPr>
        <w:t>浙江建投环保工程有限公司</w:t>
      </w:r>
    </w:p>
    <w:p>
      <w:pPr>
        <w:spacing w:line="460" w:lineRule="exact"/>
        <w:ind w:firstLine="420" w:firstLineChars="200"/>
        <w:jc w:val="left"/>
        <w:rPr>
          <w:rFonts w:hint="default" w:ascii="宋体" w:hAnsi="宋体" w:eastAsia="宋体" w:cs="宋体"/>
          <w:szCs w:val="21"/>
          <w:lang w:val="en-US" w:eastAsia="zh-CN"/>
        </w:rPr>
      </w:pPr>
      <w:r>
        <w:rPr>
          <w:rFonts w:hint="eastAsia" w:ascii="宋体" w:hAnsi="宋体" w:eastAsia="宋体" w:cs="宋体"/>
          <w:szCs w:val="21"/>
        </w:rPr>
        <w:t xml:space="preserve">本导则主要起草人：厉兴、叶红玉、刘祥宏、刘方毅、樊 </w:t>
      </w:r>
      <w:r>
        <w:rPr>
          <w:rFonts w:ascii="宋体" w:hAnsi="宋体" w:eastAsia="宋体" w:cs="宋体"/>
          <w:szCs w:val="21"/>
        </w:rPr>
        <w:t xml:space="preserve"> </w:t>
      </w:r>
      <w:r>
        <w:rPr>
          <w:rFonts w:hint="eastAsia" w:ascii="宋体" w:hAnsi="宋体" w:eastAsia="宋体" w:cs="宋体"/>
          <w:szCs w:val="21"/>
        </w:rPr>
        <w:t>葳、周佳骋</w:t>
      </w:r>
      <w:r>
        <w:rPr>
          <w:rFonts w:hint="eastAsia" w:ascii="宋体" w:hAnsi="宋体" w:eastAsia="宋体" w:cs="宋体"/>
          <w:szCs w:val="21"/>
          <w:lang w:eastAsia="zh-CN"/>
        </w:rPr>
        <w:t>、</w:t>
      </w:r>
      <w:r>
        <w:rPr>
          <w:rFonts w:hint="eastAsia" w:ascii="宋体" w:hAnsi="宋体" w:eastAsia="宋体" w:cs="宋体"/>
          <w:szCs w:val="21"/>
          <w:lang w:val="en-US" w:eastAsia="zh-CN"/>
        </w:rPr>
        <w:t>徐超明</w:t>
      </w:r>
    </w:p>
    <w:p>
      <w:pPr>
        <w:spacing w:line="460" w:lineRule="exact"/>
        <w:ind w:firstLine="420" w:firstLineChars="200"/>
        <w:jc w:val="left"/>
        <w:rPr>
          <w:rFonts w:ascii="宋体" w:hAnsi="宋体" w:eastAsia="宋体" w:cs="宋体"/>
          <w:szCs w:val="21"/>
        </w:rPr>
      </w:pPr>
    </w:p>
    <w:p>
      <w:pPr>
        <w:spacing w:line="460" w:lineRule="exact"/>
        <w:ind w:firstLine="420" w:firstLineChars="200"/>
        <w:jc w:val="left"/>
        <w:rPr>
          <w:rFonts w:ascii="宋体" w:hAnsi="宋体" w:eastAsia="宋体" w:cs="宋体"/>
          <w:szCs w:val="21"/>
        </w:rPr>
      </w:pPr>
    </w:p>
    <w:p>
      <w:pPr>
        <w:spacing w:line="460" w:lineRule="exact"/>
        <w:ind w:firstLine="420" w:firstLineChars="200"/>
        <w:jc w:val="left"/>
        <w:rPr>
          <w:rFonts w:ascii="宋体" w:hAnsi="宋体" w:eastAsia="宋体" w:cs="宋体"/>
          <w:szCs w:val="21"/>
        </w:rPr>
      </w:pPr>
    </w:p>
    <w:p>
      <w:pPr>
        <w:spacing w:before="50" w:after="50" w:line="360" w:lineRule="auto"/>
        <w:ind w:firstLine="560" w:firstLineChars="200"/>
        <w:rPr>
          <w:sz w:val="28"/>
          <w:szCs w:val="28"/>
        </w:rPr>
      </w:pPr>
    </w:p>
    <w:p>
      <w:pPr>
        <w:spacing w:before="50" w:after="50" w:line="324" w:lineRule="auto"/>
        <w:ind w:firstLine="560" w:firstLineChars="200"/>
        <w:rPr>
          <w:sz w:val="28"/>
          <w:szCs w:val="28"/>
        </w:rPr>
      </w:pPr>
    </w:p>
    <w:p>
      <w:pPr>
        <w:spacing w:line="324" w:lineRule="auto"/>
        <w:ind w:firstLine="560" w:firstLineChars="200"/>
        <w:rPr>
          <w:sz w:val="28"/>
          <w:szCs w:val="28"/>
        </w:rPr>
      </w:pPr>
    </w:p>
    <w:p>
      <w:pPr>
        <w:spacing w:line="324" w:lineRule="auto"/>
        <w:ind w:firstLine="560" w:firstLineChars="200"/>
        <w:rPr>
          <w:sz w:val="28"/>
          <w:szCs w:val="28"/>
        </w:rPr>
      </w:pPr>
      <w:r>
        <w:rPr>
          <w:sz w:val="28"/>
          <w:szCs w:val="28"/>
        </w:rPr>
        <w:br w:type="page"/>
      </w:r>
    </w:p>
    <w:p>
      <w:pPr>
        <w:spacing w:line="360" w:lineRule="auto"/>
        <w:jc w:val="center"/>
        <w:outlineLvl w:val="0"/>
        <w:rPr>
          <w:rFonts w:ascii="黑体" w:hAnsi="黑体" w:eastAsia="黑体" w:cs="黑体"/>
          <w:b/>
          <w:bCs/>
          <w:sz w:val="32"/>
          <w:szCs w:val="32"/>
        </w:rPr>
      </w:pPr>
      <w:r>
        <w:rPr>
          <w:rFonts w:hint="eastAsia" w:ascii="黑体" w:hAnsi="黑体" w:eastAsia="黑体" w:cs="黑体"/>
          <w:b/>
          <w:bCs/>
          <w:sz w:val="32"/>
          <w:szCs w:val="32"/>
        </w:rPr>
        <w:t>目   录</w:t>
      </w:r>
    </w:p>
    <w:p>
      <w:pPr>
        <w:pStyle w:val="10"/>
        <w:rPr>
          <w:rFonts w:ascii="Calibri" w:hAnsi="Calibri" w:eastAsia="宋体"/>
          <w:kern w:val="2"/>
        </w:rPr>
      </w:pPr>
    </w:p>
    <w:p>
      <w:pPr>
        <w:pStyle w:val="10"/>
        <w:rPr>
          <w:kern w:val="2"/>
        </w:rPr>
      </w:pPr>
      <w:r>
        <w:fldChar w:fldCharType="begin"/>
      </w:r>
      <w:r>
        <w:instrText xml:space="preserve"> HYPERLINK \l "_Toc34083578" </w:instrText>
      </w:r>
      <w:r>
        <w:fldChar w:fldCharType="separate"/>
      </w:r>
      <w:r>
        <w:rPr>
          <w:kern w:val="2"/>
        </w:rPr>
        <w:t>1适用范围</w:t>
      </w:r>
      <w:r>
        <w:rPr>
          <w:kern w:val="2"/>
        </w:rPr>
        <w:tab/>
      </w:r>
      <w:r>
        <w:rPr>
          <w:kern w:val="2"/>
        </w:rPr>
        <w:fldChar w:fldCharType="begin"/>
      </w:r>
      <w:r>
        <w:rPr>
          <w:kern w:val="2"/>
        </w:rPr>
        <w:instrText xml:space="preserve"> PAGEREF _Toc34083578 \h </w:instrText>
      </w:r>
      <w:r>
        <w:rPr>
          <w:kern w:val="2"/>
        </w:rPr>
        <w:fldChar w:fldCharType="separate"/>
      </w:r>
      <w:r>
        <w:rPr>
          <w:kern w:val="2"/>
        </w:rPr>
        <w:t>1</w:t>
      </w:r>
      <w:r>
        <w:rPr>
          <w:kern w:val="2"/>
        </w:rPr>
        <w:fldChar w:fldCharType="end"/>
      </w:r>
      <w:r>
        <w:rPr>
          <w:kern w:val="2"/>
        </w:rPr>
        <w:fldChar w:fldCharType="end"/>
      </w:r>
    </w:p>
    <w:p>
      <w:pPr>
        <w:pStyle w:val="10"/>
        <w:rPr>
          <w:kern w:val="2"/>
        </w:rPr>
      </w:pPr>
      <w:r>
        <w:fldChar w:fldCharType="begin"/>
      </w:r>
      <w:r>
        <w:instrText xml:space="preserve"> HYPERLINK \l "_Toc34083579" </w:instrText>
      </w:r>
      <w:r>
        <w:fldChar w:fldCharType="separate"/>
      </w:r>
      <w:r>
        <w:rPr>
          <w:kern w:val="2"/>
        </w:rPr>
        <w:t>2规范性引用文件</w:t>
      </w:r>
      <w:r>
        <w:rPr>
          <w:kern w:val="2"/>
        </w:rPr>
        <w:tab/>
      </w:r>
      <w:r>
        <w:rPr>
          <w:kern w:val="2"/>
        </w:rPr>
        <w:fldChar w:fldCharType="begin"/>
      </w:r>
      <w:r>
        <w:rPr>
          <w:kern w:val="2"/>
        </w:rPr>
        <w:instrText xml:space="preserve"> PAGEREF _Toc34083579 \h </w:instrText>
      </w:r>
      <w:r>
        <w:rPr>
          <w:kern w:val="2"/>
        </w:rPr>
        <w:fldChar w:fldCharType="separate"/>
      </w:r>
      <w:r>
        <w:rPr>
          <w:kern w:val="2"/>
        </w:rPr>
        <w:t>1</w:t>
      </w:r>
      <w:r>
        <w:rPr>
          <w:kern w:val="2"/>
        </w:rPr>
        <w:fldChar w:fldCharType="end"/>
      </w:r>
      <w:r>
        <w:rPr>
          <w:kern w:val="2"/>
        </w:rPr>
        <w:fldChar w:fldCharType="end"/>
      </w:r>
    </w:p>
    <w:p>
      <w:pPr>
        <w:pStyle w:val="10"/>
        <w:rPr>
          <w:kern w:val="2"/>
        </w:rPr>
      </w:pPr>
      <w:r>
        <w:fldChar w:fldCharType="begin"/>
      </w:r>
      <w:r>
        <w:instrText xml:space="preserve"> HYPERLINK \l "_Toc34083580" </w:instrText>
      </w:r>
      <w:r>
        <w:fldChar w:fldCharType="separate"/>
      </w:r>
      <w:r>
        <w:rPr>
          <w:kern w:val="2"/>
        </w:rPr>
        <w:t>3术语和定义</w:t>
      </w:r>
      <w:r>
        <w:rPr>
          <w:kern w:val="2"/>
        </w:rPr>
        <w:tab/>
      </w:r>
      <w:r>
        <w:rPr>
          <w:kern w:val="2"/>
        </w:rPr>
        <w:fldChar w:fldCharType="begin"/>
      </w:r>
      <w:r>
        <w:rPr>
          <w:kern w:val="2"/>
        </w:rPr>
        <w:instrText xml:space="preserve"> PAGEREF _Toc34083580 \h </w:instrText>
      </w:r>
      <w:r>
        <w:rPr>
          <w:kern w:val="2"/>
        </w:rPr>
        <w:fldChar w:fldCharType="separate"/>
      </w:r>
      <w:r>
        <w:rPr>
          <w:kern w:val="2"/>
        </w:rPr>
        <w:t>1</w:t>
      </w:r>
      <w:r>
        <w:rPr>
          <w:kern w:val="2"/>
        </w:rPr>
        <w:fldChar w:fldCharType="end"/>
      </w:r>
      <w:r>
        <w:rPr>
          <w:kern w:val="2"/>
        </w:rPr>
        <w:fldChar w:fldCharType="end"/>
      </w:r>
    </w:p>
    <w:p>
      <w:pPr>
        <w:pStyle w:val="10"/>
        <w:rPr>
          <w:kern w:val="2"/>
        </w:rPr>
      </w:pPr>
      <w:r>
        <w:fldChar w:fldCharType="begin"/>
      </w:r>
      <w:r>
        <w:instrText xml:space="preserve"> HYPERLINK \l "_Toc34083581" </w:instrText>
      </w:r>
      <w:r>
        <w:fldChar w:fldCharType="separate"/>
      </w:r>
      <w:r>
        <w:rPr>
          <w:kern w:val="2"/>
        </w:rPr>
        <w:t>4建设总体要求</w:t>
      </w:r>
      <w:r>
        <w:rPr>
          <w:kern w:val="2"/>
        </w:rPr>
        <w:tab/>
      </w:r>
      <w:r>
        <w:rPr>
          <w:kern w:val="2"/>
        </w:rPr>
        <w:t>2</w:t>
      </w:r>
      <w:r>
        <w:rPr>
          <w:kern w:val="2"/>
        </w:rPr>
        <w:fldChar w:fldCharType="end"/>
      </w:r>
    </w:p>
    <w:p>
      <w:pPr>
        <w:pStyle w:val="10"/>
        <w:rPr>
          <w:kern w:val="2"/>
        </w:rPr>
      </w:pPr>
      <w:r>
        <w:fldChar w:fldCharType="begin"/>
      </w:r>
      <w:r>
        <w:instrText xml:space="preserve"> HYPERLINK \l "_Toc34083582" </w:instrText>
      </w:r>
      <w:r>
        <w:fldChar w:fldCharType="separate"/>
      </w:r>
      <w:r>
        <w:rPr>
          <w:kern w:val="2"/>
        </w:rPr>
        <w:t>5选址和布局</w:t>
      </w:r>
      <w:r>
        <w:rPr>
          <w:kern w:val="2"/>
        </w:rPr>
        <w:tab/>
      </w:r>
      <w:r>
        <w:rPr>
          <w:kern w:val="2"/>
        </w:rPr>
        <w:t>3</w:t>
      </w:r>
      <w:r>
        <w:rPr>
          <w:kern w:val="2"/>
        </w:rPr>
        <w:fldChar w:fldCharType="end"/>
      </w:r>
    </w:p>
    <w:p>
      <w:pPr>
        <w:pStyle w:val="10"/>
        <w:rPr>
          <w:kern w:val="2"/>
        </w:rPr>
      </w:pPr>
      <w:r>
        <w:fldChar w:fldCharType="begin"/>
      </w:r>
      <w:r>
        <w:instrText xml:space="preserve"> HYPERLINK \l "_Toc34083585" </w:instrText>
      </w:r>
      <w:r>
        <w:fldChar w:fldCharType="separate"/>
      </w:r>
      <w:r>
        <w:rPr>
          <w:kern w:val="2"/>
        </w:rPr>
        <w:t>6化验室的内部设计</w:t>
      </w:r>
      <w:r>
        <w:rPr>
          <w:kern w:val="2"/>
        </w:rPr>
        <w:tab/>
      </w:r>
      <w:r>
        <w:rPr>
          <w:kern w:val="2"/>
        </w:rPr>
        <w:t>4</w:t>
      </w:r>
      <w:r>
        <w:rPr>
          <w:kern w:val="2"/>
        </w:rPr>
        <w:fldChar w:fldCharType="end"/>
      </w:r>
    </w:p>
    <w:p>
      <w:pPr>
        <w:pStyle w:val="10"/>
        <w:rPr>
          <w:kern w:val="2"/>
        </w:rPr>
      </w:pPr>
      <w:r>
        <w:fldChar w:fldCharType="begin"/>
      </w:r>
      <w:r>
        <w:instrText xml:space="preserve"> HYPERLINK \l "_Toc34083597" </w:instrText>
      </w:r>
      <w:r>
        <w:fldChar w:fldCharType="separate"/>
      </w:r>
      <w:r>
        <w:rPr>
          <w:kern w:val="2"/>
        </w:rPr>
        <w:t>7化验室仪器配备</w:t>
      </w:r>
      <w:r>
        <w:rPr>
          <w:kern w:val="2"/>
        </w:rPr>
        <w:tab/>
      </w:r>
      <w:r>
        <w:rPr>
          <w:kern w:val="2"/>
        </w:rPr>
        <w:t>9</w:t>
      </w:r>
      <w:r>
        <w:rPr>
          <w:kern w:val="2"/>
        </w:rPr>
        <w:fldChar w:fldCharType="end"/>
      </w:r>
    </w:p>
    <w:p>
      <w:pPr>
        <w:pStyle w:val="10"/>
        <w:rPr>
          <w:kern w:val="2"/>
        </w:rPr>
      </w:pPr>
      <w:r>
        <w:fldChar w:fldCharType="begin"/>
      </w:r>
      <w:r>
        <w:instrText xml:space="preserve"> HYPERLINK \l "_Toc34083598" </w:instrText>
      </w:r>
      <w:r>
        <w:fldChar w:fldCharType="separate"/>
      </w:r>
      <w:r>
        <w:rPr>
          <w:kern w:val="2"/>
        </w:rPr>
        <w:t>8样品采样和保存运输</w:t>
      </w:r>
      <w:r>
        <w:rPr>
          <w:kern w:val="2"/>
        </w:rPr>
        <w:tab/>
      </w:r>
      <w:r>
        <w:rPr>
          <w:kern w:val="2"/>
        </w:rPr>
        <w:fldChar w:fldCharType="begin"/>
      </w:r>
      <w:r>
        <w:rPr>
          <w:kern w:val="2"/>
        </w:rPr>
        <w:instrText xml:space="preserve"> PAGEREF _Toc34083598 \h </w:instrText>
      </w:r>
      <w:r>
        <w:rPr>
          <w:kern w:val="2"/>
        </w:rPr>
        <w:fldChar w:fldCharType="separate"/>
      </w:r>
      <w:r>
        <w:rPr>
          <w:kern w:val="2"/>
        </w:rPr>
        <w:t>12</w:t>
      </w:r>
      <w:r>
        <w:rPr>
          <w:kern w:val="2"/>
        </w:rPr>
        <w:fldChar w:fldCharType="end"/>
      </w:r>
      <w:r>
        <w:rPr>
          <w:kern w:val="2"/>
        </w:rPr>
        <w:fldChar w:fldCharType="end"/>
      </w:r>
    </w:p>
    <w:p>
      <w:pPr>
        <w:pStyle w:val="10"/>
        <w:rPr>
          <w:kern w:val="2"/>
        </w:rPr>
      </w:pPr>
      <w:r>
        <w:fldChar w:fldCharType="begin"/>
      </w:r>
      <w:r>
        <w:instrText xml:space="preserve"> HYPERLINK \l "_Toc34083602" </w:instrText>
      </w:r>
      <w:r>
        <w:fldChar w:fldCharType="separate"/>
      </w:r>
      <w:r>
        <w:rPr>
          <w:kern w:val="2"/>
        </w:rPr>
        <w:t>9数据处理和结果表示</w:t>
      </w:r>
      <w:r>
        <w:rPr>
          <w:kern w:val="2"/>
        </w:rPr>
        <w:tab/>
      </w:r>
      <w:r>
        <w:rPr>
          <w:kern w:val="2"/>
        </w:rPr>
        <w:fldChar w:fldCharType="begin"/>
      </w:r>
      <w:r>
        <w:rPr>
          <w:kern w:val="2"/>
        </w:rPr>
        <w:instrText xml:space="preserve"> PAGEREF _Toc34083602 \h </w:instrText>
      </w:r>
      <w:r>
        <w:rPr>
          <w:kern w:val="2"/>
        </w:rPr>
        <w:fldChar w:fldCharType="separate"/>
      </w:r>
      <w:r>
        <w:rPr>
          <w:kern w:val="2"/>
        </w:rPr>
        <w:t>15</w:t>
      </w:r>
      <w:r>
        <w:rPr>
          <w:kern w:val="2"/>
        </w:rPr>
        <w:fldChar w:fldCharType="end"/>
      </w:r>
      <w:r>
        <w:rPr>
          <w:kern w:val="2"/>
        </w:rPr>
        <w:fldChar w:fldCharType="end"/>
      </w:r>
    </w:p>
    <w:p>
      <w:pPr>
        <w:pStyle w:val="10"/>
        <w:rPr>
          <w:kern w:val="2"/>
        </w:rPr>
      </w:pPr>
      <w:r>
        <w:fldChar w:fldCharType="begin"/>
      </w:r>
      <w:r>
        <w:instrText xml:space="preserve"> HYPERLINK \l "_Toc34083607" </w:instrText>
      </w:r>
      <w:r>
        <w:fldChar w:fldCharType="separate"/>
      </w:r>
      <w:r>
        <w:rPr>
          <w:kern w:val="2"/>
        </w:rPr>
        <w:t>10检测化验室人员配备</w:t>
      </w:r>
      <w:r>
        <w:rPr>
          <w:kern w:val="2"/>
        </w:rPr>
        <w:tab/>
      </w:r>
      <w:r>
        <w:rPr>
          <w:kern w:val="2"/>
        </w:rPr>
        <w:fldChar w:fldCharType="begin"/>
      </w:r>
      <w:r>
        <w:rPr>
          <w:kern w:val="2"/>
        </w:rPr>
        <w:instrText xml:space="preserve"> PAGEREF _Toc34083607 \h </w:instrText>
      </w:r>
      <w:r>
        <w:rPr>
          <w:kern w:val="2"/>
        </w:rPr>
        <w:fldChar w:fldCharType="separate"/>
      </w:r>
      <w:r>
        <w:rPr>
          <w:kern w:val="2"/>
        </w:rPr>
        <w:t>1</w:t>
      </w:r>
      <w:r>
        <w:rPr>
          <w:kern w:val="2"/>
        </w:rPr>
        <w:fldChar w:fldCharType="end"/>
      </w:r>
      <w:r>
        <w:rPr>
          <w:kern w:val="2"/>
        </w:rPr>
        <w:fldChar w:fldCharType="end"/>
      </w:r>
      <w:r>
        <w:rPr>
          <w:kern w:val="2"/>
        </w:rPr>
        <w:t>8</w:t>
      </w:r>
    </w:p>
    <w:p>
      <w:pPr>
        <w:pStyle w:val="10"/>
        <w:rPr>
          <w:kern w:val="2"/>
        </w:rPr>
      </w:pPr>
      <w:r>
        <w:fldChar w:fldCharType="begin"/>
      </w:r>
      <w:r>
        <w:instrText xml:space="preserve"> HYPERLINK \l "_Toc34083608" </w:instrText>
      </w:r>
      <w:r>
        <w:fldChar w:fldCharType="separate"/>
      </w:r>
      <w:r>
        <w:rPr>
          <w:kern w:val="2"/>
        </w:rPr>
        <w:t>11质量体系要求</w:t>
      </w:r>
      <w:r>
        <w:rPr>
          <w:kern w:val="2"/>
        </w:rPr>
        <w:tab/>
      </w:r>
      <w:r>
        <w:rPr>
          <w:kern w:val="2"/>
        </w:rPr>
        <w:fldChar w:fldCharType="begin"/>
      </w:r>
      <w:r>
        <w:rPr>
          <w:kern w:val="2"/>
        </w:rPr>
        <w:instrText xml:space="preserve"> PAGEREF _Toc34083608 \h </w:instrText>
      </w:r>
      <w:r>
        <w:rPr>
          <w:kern w:val="2"/>
        </w:rPr>
        <w:fldChar w:fldCharType="separate"/>
      </w:r>
      <w:r>
        <w:rPr>
          <w:kern w:val="2"/>
        </w:rPr>
        <w:t>20</w:t>
      </w:r>
      <w:r>
        <w:rPr>
          <w:kern w:val="2"/>
        </w:rPr>
        <w:fldChar w:fldCharType="end"/>
      </w:r>
      <w:r>
        <w:rPr>
          <w:kern w:val="2"/>
        </w:rPr>
        <w:fldChar w:fldCharType="end"/>
      </w:r>
    </w:p>
    <w:p>
      <w:pPr>
        <w:pStyle w:val="10"/>
        <w:rPr>
          <w:kern w:val="2"/>
        </w:rPr>
      </w:pPr>
      <w:r>
        <w:fldChar w:fldCharType="begin"/>
      </w:r>
      <w:r>
        <w:instrText xml:space="preserve"> HYPERLINK \l "_Toc34083610" </w:instrText>
      </w:r>
      <w:r>
        <w:fldChar w:fldCharType="separate"/>
      </w:r>
      <w:r>
        <w:rPr>
          <w:kern w:val="2"/>
        </w:rPr>
        <w:t>12安全和防护</w:t>
      </w:r>
      <w:r>
        <w:rPr>
          <w:kern w:val="2"/>
        </w:rPr>
        <w:tab/>
      </w:r>
      <w:r>
        <w:rPr>
          <w:kern w:val="2"/>
        </w:rPr>
        <w:fldChar w:fldCharType="begin"/>
      </w:r>
      <w:r>
        <w:rPr>
          <w:kern w:val="2"/>
        </w:rPr>
        <w:instrText xml:space="preserve"> PAGEREF _Toc34083610 \h </w:instrText>
      </w:r>
      <w:r>
        <w:rPr>
          <w:kern w:val="2"/>
        </w:rPr>
        <w:fldChar w:fldCharType="separate"/>
      </w:r>
      <w:r>
        <w:rPr>
          <w:kern w:val="2"/>
        </w:rPr>
        <w:t>21</w:t>
      </w:r>
      <w:r>
        <w:rPr>
          <w:kern w:val="2"/>
        </w:rPr>
        <w:fldChar w:fldCharType="end"/>
      </w:r>
      <w:r>
        <w:rPr>
          <w:kern w:val="2"/>
        </w:rPr>
        <w:fldChar w:fldCharType="end"/>
      </w:r>
    </w:p>
    <w:p>
      <w:pPr>
        <w:pStyle w:val="10"/>
        <w:rPr>
          <w:kern w:val="2"/>
        </w:rPr>
      </w:pPr>
      <w:r>
        <w:fldChar w:fldCharType="begin"/>
      </w:r>
      <w:r>
        <w:instrText xml:space="preserve"> HYPERLINK \l "_Toc34083620" </w:instrText>
      </w:r>
      <w:r>
        <w:fldChar w:fldCharType="separate"/>
      </w:r>
      <w:r>
        <w:rPr>
          <w:kern w:val="2"/>
        </w:rPr>
        <w:t>13三废处理</w:t>
      </w:r>
      <w:r>
        <w:rPr>
          <w:kern w:val="2"/>
        </w:rPr>
        <w:tab/>
      </w:r>
      <w:r>
        <w:rPr>
          <w:kern w:val="2"/>
        </w:rPr>
        <w:fldChar w:fldCharType="begin"/>
      </w:r>
      <w:r>
        <w:rPr>
          <w:kern w:val="2"/>
        </w:rPr>
        <w:instrText xml:space="preserve"> PAGEREF _Toc34083620 \h </w:instrText>
      </w:r>
      <w:r>
        <w:rPr>
          <w:kern w:val="2"/>
        </w:rPr>
        <w:fldChar w:fldCharType="separate"/>
      </w:r>
      <w:r>
        <w:rPr>
          <w:kern w:val="2"/>
        </w:rPr>
        <w:t>24</w:t>
      </w:r>
      <w:r>
        <w:rPr>
          <w:kern w:val="2"/>
        </w:rPr>
        <w:fldChar w:fldCharType="end"/>
      </w:r>
      <w:r>
        <w:rPr>
          <w:kern w:val="2"/>
        </w:rPr>
        <w:fldChar w:fldCharType="end"/>
      </w:r>
    </w:p>
    <w:p>
      <w:pPr>
        <w:pStyle w:val="10"/>
        <w:rPr>
          <w:kern w:val="2"/>
        </w:rPr>
      </w:pPr>
      <w:r>
        <w:fldChar w:fldCharType="begin"/>
      </w:r>
      <w:r>
        <w:instrText xml:space="preserve"> HYPERLINK \l "_Toc34083621" </w:instrText>
      </w:r>
      <w:r>
        <w:fldChar w:fldCharType="separate"/>
      </w:r>
      <w:r>
        <w:rPr>
          <w:kern w:val="2"/>
        </w:rPr>
        <w:t>附录1质量质控指标表</w:t>
      </w:r>
      <w:r>
        <w:rPr>
          <w:kern w:val="2"/>
        </w:rPr>
        <w:tab/>
      </w:r>
      <w:r>
        <w:rPr>
          <w:kern w:val="2"/>
        </w:rPr>
        <w:fldChar w:fldCharType="begin"/>
      </w:r>
      <w:r>
        <w:rPr>
          <w:kern w:val="2"/>
        </w:rPr>
        <w:instrText xml:space="preserve"> PAGEREF _Toc34083621 \h </w:instrText>
      </w:r>
      <w:r>
        <w:rPr>
          <w:kern w:val="2"/>
        </w:rPr>
        <w:fldChar w:fldCharType="separate"/>
      </w:r>
      <w:r>
        <w:rPr>
          <w:kern w:val="2"/>
        </w:rPr>
        <w:t>i</w:t>
      </w:r>
      <w:r>
        <w:rPr>
          <w:kern w:val="2"/>
        </w:rPr>
        <w:fldChar w:fldCharType="end"/>
      </w:r>
      <w:r>
        <w:rPr>
          <w:kern w:val="2"/>
        </w:rPr>
        <w:fldChar w:fldCharType="end"/>
      </w:r>
    </w:p>
    <w:p>
      <w:pPr>
        <w:pStyle w:val="10"/>
        <w:rPr>
          <w:kern w:val="2"/>
        </w:rPr>
      </w:pPr>
      <w:r>
        <w:fldChar w:fldCharType="begin"/>
      </w:r>
      <w:r>
        <w:instrText xml:space="preserve"> HYPERLINK \l "_Toc34083622" </w:instrText>
      </w:r>
      <w:r>
        <w:fldChar w:fldCharType="separate"/>
      </w:r>
      <w:r>
        <w:rPr>
          <w:kern w:val="2"/>
        </w:rPr>
        <w:t>附录2水质检测技术记录范本</w:t>
      </w:r>
      <w:r>
        <w:rPr>
          <w:kern w:val="2"/>
        </w:rPr>
        <w:tab/>
      </w:r>
      <w:r>
        <w:rPr>
          <w:rFonts w:hint="eastAsia"/>
          <w:kern w:val="2"/>
        </w:rPr>
        <w:t>ii</w:t>
      </w:r>
      <w:r>
        <w:rPr>
          <w:rFonts w:hint="eastAsia"/>
          <w:kern w:val="2"/>
        </w:rPr>
        <w:fldChar w:fldCharType="end"/>
      </w:r>
    </w:p>
    <w:p>
      <w:pPr>
        <w:pStyle w:val="10"/>
        <w:rPr>
          <w:kern w:val="2"/>
        </w:rPr>
        <w:sectPr>
          <w:pgSz w:w="11906" w:h="16838"/>
          <w:pgMar w:top="1440" w:right="1800" w:bottom="1440" w:left="1800" w:header="851" w:footer="992" w:gutter="0"/>
          <w:cols w:space="425" w:num="1"/>
          <w:docGrid w:type="lines" w:linePitch="312" w:charSpace="0"/>
        </w:sectPr>
      </w:pPr>
      <w:r>
        <w:fldChar w:fldCharType="begin"/>
      </w:r>
      <w:r>
        <w:instrText xml:space="preserve">HYPERLINK \l "_Toc34083623"</w:instrText>
      </w:r>
      <w:r>
        <w:fldChar w:fldCharType="separate"/>
      </w:r>
      <w:r>
        <w:rPr>
          <w:kern w:val="2"/>
        </w:rPr>
        <w:t>附录3自检报告范本</w:t>
      </w:r>
      <w:r>
        <w:rPr>
          <w:kern w:val="2"/>
        </w:rPr>
        <w:tab/>
      </w:r>
      <w:r>
        <w:rPr>
          <w:rFonts w:hint="eastAsia"/>
          <w:kern w:val="2"/>
        </w:rPr>
        <w:t>iii</w:t>
      </w:r>
      <w:r>
        <w:fldChar w:fldCharType="end"/>
      </w:r>
    </w:p>
    <w:p>
      <w:pPr>
        <w:spacing w:line="576" w:lineRule="auto"/>
        <w:ind w:firstLine="643" w:firstLineChars="200"/>
        <w:jc w:val="center"/>
        <w:rPr>
          <w:rFonts w:ascii="黑体" w:hAnsi="黑体" w:eastAsia="黑体" w:cs="黑体"/>
          <w:b/>
          <w:bCs/>
          <w:sz w:val="32"/>
          <w:szCs w:val="32"/>
        </w:rPr>
      </w:pPr>
      <w:bookmarkStart w:id="8" w:name="_Toc34083578"/>
      <w:r>
        <w:rPr>
          <w:rFonts w:hint="eastAsia" w:ascii="黑体" w:hAnsi="黑体" w:eastAsia="黑体" w:cs="黑体"/>
          <w:b/>
          <w:bCs/>
          <w:sz w:val="32"/>
          <w:szCs w:val="32"/>
        </w:rPr>
        <w:t>农村生活污水水质检测化验室建设导则</w:t>
      </w:r>
    </w:p>
    <w:p>
      <w:pPr>
        <w:pStyle w:val="2"/>
        <w:spacing w:before="0" w:after="0"/>
        <w:rPr>
          <w:rFonts w:ascii="黑体" w:hAnsi="黑体" w:eastAsia="黑体"/>
          <w:bCs/>
          <w:sz w:val="21"/>
          <w:szCs w:val="21"/>
        </w:rPr>
      </w:pPr>
      <w:r>
        <w:rPr>
          <w:rFonts w:hint="eastAsia" w:ascii="黑体" w:hAnsi="黑体" w:eastAsia="黑体"/>
          <w:bCs/>
          <w:sz w:val="21"/>
          <w:szCs w:val="21"/>
        </w:rPr>
        <w:t>1</w:t>
      </w:r>
      <w:r>
        <w:rPr>
          <w:rFonts w:ascii="黑体" w:hAnsi="黑体" w:eastAsia="黑体"/>
          <w:bCs/>
          <w:sz w:val="21"/>
          <w:szCs w:val="21"/>
        </w:rPr>
        <w:t xml:space="preserve">  </w:t>
      </w:r>
      <w:r>
        <w:rPr>
          <w:rFonts w:hint="eastAsia" w:ascii="黑体" w:hAnsi="黑体" w:eastAsia="黑体"/>
          <w:bCs/>
          <w:sz w:val="21"/>
          <w:szCs w:val="21"/>
        </w:rPr>
        <w:t>适用范围</w:t>
      </w:r>
      <w:bookmarkEnd w:id="8"/>
    </w:p>
    <w:p>
      <w:pPr>
        <w:spacing w:line="460" w:lineRule="exact"/>
        <w:ind w:firstLine="420" w:firstLineChars="200"/>
        <w:jc w:val="left"/>
        <w:rPr>
          <w:rFonts w:ascii="宋体" w:hAnsi="宋体" w:eastAsia="宋体" w:cs="宋体"/>
          <w:szCs w:val="21"/>
        </w:rPr>
      </w:pPr>
      <w:r>
        <w:rPr>
          <w:rFonts w:hint="eastAsia" w:ascii="宋体" w:hAnsi="宋体" w:eastAsia="宋体" w:cs="宋体"/>
          <w:szCs w:val="21"/>
        </w:rPr>
        <w:t>本导则规定了农村生活污水处理设施运维服务机构水质检测化验室建设的总体要求、化验室选址和布局、化验室的内部设计、化验室仪器配备、样品采样和保存运输、数据处理和结果表示、检测化验室人员配备、质量体系要求、安全和防护、三废处理。</w:t>
      </w:r>
    </w:p>
    <w:p>
      <w:pPr>
        <w:spacing w:line="460" w:lineRule="exact"/>
        <w:ind w:firstLine="420" w:firstLineChars="200"/>
        <w:jc w:val="left"/>
        <w:rPr>
          <w:rFonts w:ascii="宋体" w:hAnsi="宋体" w:eastAsia="宋体" w:cs="宋体"/>
          <w:szCs w:val="21"/>
        </w:rPr>
      </w:pPr>
      <w:r>
        <w:rPr>
          <w:rFonts w:hint="eastAsia" w:ascii="宋体" w:hAnsi="宋体" w:eastAsia="宋体" w:cs="宋体"/>
          <w:szCs w:val="21"/>
        </w:rPr>
        <w:t>本导则适用于农村生活污水处理设施运维服务机构水质检测化验室的建设。</w:t>
      </w:r>
    </w:p>
    <w:p>
      <w:pPr>
        <w:pStyle w:val="2"/>
        <w:spacing w:before="0" w:after="0"/>
        <w:rPr>
          <w:rFonts w:ascii="黑体" w:hAnsi="黑体" w:eastAsia="黑体"/>
          <w:bCs/>
          <w:sz w:val="21"/>
          <w:szCs w:val="21"/>
        </w:rPr>
      </w:pPr>
      <w:bookmarkStart w:id="9" w:name="_Toc34083579"/>
      <w:r>
        <w:rPr>
          <w:rFonts w:hint="eastAsia" w:ascii="黑体" w:hAnsi="黑体" w:eastAsia="黑体"/>
          <w:bCs/>
          <w:sz w:val="21"/>
          <w:szCs w:val="21"/>
        </w:rPr>
        <w:t>2</w:t>
      </w:r>
      <w:r>
        <w:rPr>
          <w:rFonts w:ascii="黑体" w:hAnsi="黑体" w:eastAsia="黑体"/>
          <w:bCs/>
          <w:sz w:val="21"/>
          <w:szCs w:val="21"/>
        </w:rPr>
        <w:t xml:space="preserve">  </w:t>
      </w:r>
      <w:r>
        <w:rPr>
          <w:rFonts w:hint="eastAsia" w:ascii="黑体" w:hAnsi="黑体" w:eastAsia="黑体"/>
          <w:bCs/>
          <w:sz w:val="21"/>
          <w:szCs w:val="21"/>
        </w:rPr>
        <w:t>规范性引用文件</w:t>
      </w:r>
      <w:bookmarkEnd w:id="9"/>
    </w:p>
    <w:p>
      <w:pPr>
        <w:spacing w:line="460" w:lineRule="exact"/>
        <w:ind w:firstLine="420" w:firstLineChars="200"/>
        <w:jc w:val="left"/>
        <w:rPr>
          <w:rFonts w:ascii="宋体" w:hAnsi="宋体" w:eastAsia="宋体" w:cs="宋体"/>
          <w:szCs w:val="21"/>
        </w:rPr>
      </w:pPr>
      <w:r>
        <w:rPr>
          <w:rFonts w:hint="eastAsia" w:ascii="宋体" w:hAnsi="宋体" w:eastAsia="宋体" w:cs="宋体"/>
          <w:szCs w:val="21"/>
        </w:rPr>
        <w:t>GB/T 32146.1-2015  检验检测化验室设计与建设技术要求</w:t>
      </w:r>
    </w:p>
    <w:p>
      <w:pPr>
        <w:spacing w:line="460" w:lineRule="exact"/>
        <w:ind w:firstLine="420" w:firstLineChars="200"/>
        <w:jc w:val="left"/>
        <w:rPr>
          <w:rFonts w:ascii="宋体" w:hAnsi="宋体" w:eastAsia="宋体" w:cs="宋体"/>
          <w:szCs w:val="21"/>
        </w:rPr>
      </w:pPr>
      <w:r>
        <w:rPr>
          <w:rFonts w:hint="eastAsia" w:ascii="宋体" w:hAnsi="宋体" w:eastAsia="宋体" w:cs="宋体"/>
          <w:szCs w:val="21"/>
        </w:rPr>
        <w:t>SL/Z 390-2007      水环境监测化验室安全技术导则</w:t>
      </w:r>
    </w:p>
    <w:p>
      <w:pPr>
        <w:spacing w:line="460" w:lineRule="exact"/>
        <w:ind w:firstLine="420" w:firstLineChars="200"/>
        <w:jc w:val="left"/>
        <w:rPr>
          <w:rFonts w:ascii="宋体" w:hAnsi="宋体" w:eastAsia="宋体" w:cs="宋体"/>
          <w:szCs w:val="21"/>
        </w:rPr>
      </w:pPr>
      <w:r>
        <w:rPr>
          <w:rFonts w:hint="eastAsia" w:ascii="宋体" w:hAnsi="宋体" w:eastAsia="宋体" w:cs="宋体"/>
          <w:szCs w:val="21"/>
        </w:rPr>
        <w:t>JGJ 91-</w:t>
      </w:r>
      <w:r>
        <w:rPr>
          <w:rFonts w:ascii="宋体" w:hAnsi="宋体" w:eastAsia="宋体" w:cs="宋体"/>
          <w:szCs w:val="21"/>
        </w:rPr>
        <w:t>19</w:t>
      </w:r>
      <w:r>
        <w:rPr>
          <w:rFonts w:hint="eastAsia" w:ascii="宋体" w:hAnsi="宋体" w:eastAsia="宋体" w:cs="宋体"/>
          <w:szCs w:val="21"/>
        </w:rPr>
        <w:t>93        科学化验室建筑设计规范</w:t>
      </w:r>
    </w:p>
    <w:p>
      <w:pPr>
        <w:spacing w:line="460" w:lineRule="exact"/>
        <w:ind w:firstLine="420" w:firstLineChars="200"/>
        <w:jc w:val="left"/>
        <w:rPr>
          <w:rFonts w:ascii="宋体" w:hAnsi="宋体" w:eastAsia="宋体" w:cs="宋体"/>
          <w:szCs w:val="21"/>
        </w:rPr>
      </w:pPr>
      <w:r>
        <w:rPr>
          <w:rFonts w:ascii="宋体" w:hAnsi="宋体" w:eastAsia="宋体" w:cs="宋体"/>
          <w:szCs w:val="21"/>
        </w:rPr>
        <w:t>HJ</w:t>
      </w:r>
      <w:r>
        <w:rPr>
          <w:rFonts w:hint="eastAsia" w:ascii="宋体" w:hAnsi="宋体" w:eastAsia="宋体" w:cs="宋体"/>
          <w:szCs w:val="21"/>
        </w:rPr>
        <w:t>/</w:t>
      </w:r>
      <w:r>
        <w:rPr>
          <w:rFonts w:ascii="宋体" w:hAnsi="宋体" w:eastAsia="宋体" w:cs="宋体"/>
          <w:szCs w:val="21"/>
        </w:rPr>
        <w:t xml:space="preserve">T 91-2002       </w:t>
      </w:r>
      <w:r>
        <w:rPr>
          <w:rFonts w:hint="eastAsia" w:ascii="宋体" w:hAnsi="宋体" w:eastAsia="宋体" w:cs="宋体"/>
          <w:szCs w:val="21"/>
        </w:rPr>
        <w:t>地表水和污水监测技术规范</w:t>
      </w:r>
    </w:p>
    <w:p>
      <w:pPr>
        <w:spacing w:line="460" w:lineRule="exact"/>
        <w:ind w:firstLine="420" w:firstLineChars="200"/>
        <w:jc w:val="left"/>
        <w:rPr>
          <w:rFonts w:ascii="宋体" w:hAnsi="宋体" w:eastAsia="宋体" w:cs="宋体"/>
          <w:szCs w:val="21"/>
        </w:rPr>
      </w:pPr>
      <w:r>
        <w:rPr>
          <w:rFonts w:hint="eastAsia" w:ascii="宋体" w:hAnsi="宋体" w:eastAsia="宋体" w:cs="宋体"/>
          <w:szCs w:val="21"/>
        </w:rPr>
        <w:t>GB</w:t>
      </w:r>
      <w:r>
        <w:rPr>
          <w:rFonts w:ascii="宋体" w:hAnsi="宋体" w:eastAsia="宋体" w:cs="宋体"/>
          <w:szCs w:val="21"/>
        </w:rPr>
        <w:t>/</w:t>
      </w:r>
      <w:r>
        <w:rPr>
          <w:rFonts w:hint="eastAsia" w:ascii="宋体" w:hAnsi="宋体" w:eastAsia="宋体" w:cs="宋体"/>
          <w:szCs w:val="21"/>
        </w:rPr>
        <w:t xml:space="preserve">T 8170-2008 </w:t>
      </w:r>
      <w:r>
        <w:rPr>
          <w:rFonts w:ascii="宋体" w:hAnsi="宋体" w:eastAsia="宋体" w:cs="宋体"/>
          <w:szCs w:val="21"/>
        </w:rPr>
        <w:t xml:space="preserve">    </w:t>
      </w:r>
      <w:r>
        <w:rPr>
          <w:rFonts w:hint="eastAsia" w:ascii="宋体" w:hAnsi="宋体" w:eastAsia="宋体" w:cs="宋体"/>
          <w:szCs w:val="21"/>
        </w:rPr>
        <w:t>数值修约规则与极限数值的表示和判定</w:t>
      </w:r>
    </w:p>
    <w:p>
      <w:pPr>
        <w:spacing w:line="460" w:lineRule="exact"/>
        <w:ind w:firstLine="420" w:firstLineChars="200"/>
        <w:jc w:val="left"/>
        <w:rPr>
          <w:rFonts w:ascii="宋体" w:hAnsi="宋体" w:eastAsia="宋体" w:cs="宋体"/>
          <w:szCs w:val="21"/>
        </w:rPr>
      </w:pPr>
      <w:r>
        <w:rPr>
          <w:rFonts w:ascii="宋体" w:hAnsi="宋体" w:eastAsia="宋体" w:cs="宋体"/>
          <w:szCs w:val="21"/>
        </w:rPr>
        <w:t xml:space="preserve">DB33/973-2015     </w:t>
      </w:r>
      <w:r>
        <w:rPr>
          <w:rFonts w:hint="eastAsia" w:ascii="宋体" w:hAnsi="宋体" w:eastAsia="宋体" w:cs="宋体"/>
          <w:szCs w:val="21"/>
        </w:rPr>
        <w:t>《农村生活污水处理设施水污染物排放标准》</w:t>
      </w:r>
    </w:p>
    <w:p>
      <w:pPr>
        <w:spacing w:line="460" w:lineRule="exact"/>
        <w:ind w:firstLine="420" w:firstLineChars="200"/>
        <w:jc w:val="left"/>
        <w:rPr>
          <w:rFonts w:ascii="宋体" w:hAnsi="宋体" w:eastAsia="宋体" w:cs="宋体"/>
          <w:szCs w:val="21"/>
        </w:rPr>
      </w:pPr>
      <w:r>
        <w:rPr>
          <w:rFonts w:hint="eastAsia" w:ascii="宋体" w:hAnsi="宋体" w:eastAsia="宋体" w:cs="宋体"/>
          <w:szCs w:val="21"/>
        </w:rPr>
        <w:t xml:space="preserve">RB/T 214-2017 </w:t>
      </w:r>
      <w:r>
        <w:rPr>
          <w:rFonts w:ascii="宋体" w:hAnsi="宋体" w:eastAsia="宋体" w:cs="宋体"/>
          <w:szCs w:val="21"/>
        </w:rPr>
        <w:t xml:space="preserve">     </w:t>
      </w:r>
      <w:r>
        <w:rPr>
          <w:rFonts w:hint="eastAsia" w:ascii="宋体" w:hAnsi="宋体" w:eastAsia="宋体" w:cs="宋体"/>
          <w:szCs w:val="21"/>
        </w:rPr>
        <w:t>检验检测机构资质认定能力评价 检验检测机构通用要求</w:t>
      </w:r>
    </w:p>
    <w:p>
      <w:pPr>
        <w:spacing w:line="460" w:lineRule="exact"/>
        <w:ind w:firstLine="420" w:firstLineChars="200"/>
        <w:jc w:val="left"/>
        <w:rPr>
          <w:rFonts w:ascii="宋体" w:hAnsi="宋体" w:eastAsia="宋体" w:cs="宋体"/>
          <w:szCs w:val="21"/>
        </w:rPr>
      </w:pPr>
      <w:r>
        <w:rPr>
          <w:rFonts w:hint="eastAsia" w:ascii="宋体" w:hAnsi="宋体" w:eastAsia="宋体" w:cs="宋体"/>
          <w:szCs w:val="21"/>
        </w:rPr>
        <w:t>《浙江省人民政府办公厅关于加强农村生活污水治理设施运行维护管理的意见（浙政办发〔2015〕86号）》</w:t>
      </w:r>
    </w:p>
    <w:p>
      <w:pPr>
        <w:spacing w:line="460" w:lineRule="exact"/>
        <w:ind w:firstLine="420" w:firstLineChars="200"/>
        <w:jc w:val="left"/>
        <w:rPr>
          <w:rFonts w:ascii="宋体" w:hAnsi="宋体" w:eastAsia="宋体" w:cs="宋体"/>
          <w:szCs w:val="21"/>
        </w:rPr>
      </w:pPr>
      <w:r>
        <w:rPr>
          <w:rFonts w:hint="eastAsia" w:ascii="宋体" w:hAnsi="宋体" w:eastAsia="宋体" w:cs="宋体"/>
          <w:szCs w:val="21"/>
        </w:rPr>
        <w:t>《农村生活污水治理设施出水水质和结果评价导则》</w:t>
      </w:r>
    </w:p>
    <w:p>
      <w:pPr>
        <w:spacing w:line="460" w:lineRule="exact"/>
        <w:ind w:firstLine="420" w:firstLineChars="200"/>
        <w:jc w:val="left"/>
        <w:rPr>
          <w:rFonts w:ascii="宋体" w:hAnsi="宋体" w:eastAsia="宋体" w:cs="宋体"/>
          <w:szCs w:val="21"/>
        </w:rPr>
      </w:pPr>
      <w:r>
        <w:rPr>
          <w:rFonts w:hint="eastAsia" w:ascii="宋体" w:hAnsi="宋体" w:eastAsia="宋体" w:cs="宋体"/>
          <w:szCs w:val="21"/>
        </w:rPr>
        <w:t>《浙江省农村生活污水处理设施管理条例》</w:t>
      </w:r>
    </w:p>
    <w:p>
      <w:pPr>
        <w:spacing w:line="460" w:lineRule="exact"/>
        <w:ind w:firstLine="420" w:firstLineChars="200"/>
        <w:jc w:val="left"/>
        <w:rPr>
          <w:rFonts w:ascii="宋体" w:hAnsi="宋体" w:eastAsia="宋体" w:cs="宋体"/>
          <w:szCs w:val="21"/>
        </w:rPr>
      </w:pPr>
      <w:r>
        <w:rPr>
          <w:rFonts w:hint="eastAsia" w:ascii="宋体" w:hAnsi="宋体" w:eastAsia="宋体" w:cs="宋体"/>
          <w:szCs w:val="21"/>
        </w:rPr>
        <w:t>《检验检测机构资质认定 生态环境监测机构评审补充要求（国市监检测〔2018〕245号）》</w:t>
      </w:r>
    </w:p>
    <w:p>
      <w:pPr>
        <w:pStyle w:val="2"/>
        <w:spacing w:before="0" w:after="0"/>
        <w:rPr>
          <w:rFonts w:ascii="黑体" w:hAnsi="黑体" w:eastAsia="黑体"/>
          <w:bCs/>
          <w:sz w:val="21"/>
          <w:szCs w:val="21"/>
        </w:rPr>
      </w:pPr>
      <w:bookmarkStart w:id="10" w:name="_Toc34083580"/>
      <w:r>
        <w:rPr>
          <w:rFonts w:hint="eastAsia" w:ascii="黑体" w:hAnsi="黑体" w:eastAsia="黑体"/>
          <w:bCs/>
          <w:sz w:val="21"/>
          <w:szCs w:val="21"/>
        </w:rPr>
        <w:t>3</w:t>
      </w:r>
      <w:r>
        <w:rPr>
          <w:rFonts w:ascii="黑体" w:hAnsi="黑体" w:eastAsia="黑体"/>
          <w:bCs/>
          <w:sz w:val="21"/>
          <w:szCs w:val="21"/>
        </w:rPr>
        <w:t xml:space="preserve">  </w:t>
      </w:r>
      <w:r>
        <w:rPr>
          <w:rFonts w:hint="eastAsia" w:ascii="黑体" w:hAnsi="黑体" w:eastAsia="黑体"/>
          <w:bCs/>
          <w:sz w:val="21"/>
          <w:szCs w:val="21"/>
        </w:rPr>
        <w:t>术语和定义</w:t>
      </w:r>
      <w:bookmarkEnd w:id="10"/>
    </w:p>
    <w:p>
      <w:pPr>
        <w:spacing w:line="576" w:lineRule="auto"/>
        <w:rPr>
          <w:rFonts w:ascii="黑体" w:hAnsi="黑体" w:eastAsia="黑体"/>
          <w:b/>
          <w:bCs/>
          <w:szCs w:val="21"/>
        </w:rPr>
      </w:pPr>
      <w:r>
        <w:rPr>
          <w:rFonts w:hint="eastAsia" w:ascii="黑体" w:hAnsi="黑体" w:eastAsia="黑体"/>
          <w:b/>
          <w:bCs/>
          <w:szCs w:val="21"/>
        </w:rPr>
        <w:t>3.</w:t>
      </w:r>
      <w:r>
        <w:rPr>
          <w:rFonts w:ascii="黑体" w:hAnsi="黑体" w:eastAsia="黑体"/>
          <w:b/>
          <w:bCs/>
          <w:szCs w:val="21"/>
        </w:rPr>
        <w:t xml:space="preserve">1  </w:t>
      </w:r>
      <w:r>
        <w:rPr>
          <w:rFonts w:hint="eastAsia" w:ascii="黑体" w:hAnsi="黑体" w:eastAsia="黑体"/>
          <w:b/>
          <w:bCs/>
          <w:szCs w:val="21"/>
        </w:rPr>
        <w:t>农村生活污水</w:t>
      </w:r>
    </w:p>
    <w:p>
      <w:pPr>
        <w:spacing w:line="460" w:lineRule="exact"/>
        <w:ind w:firstLine="420" w:firstLineChars="200"/>
        <w:rPr>
          <w:bCs/>
          <w:szCs w:val="21"/>
        </w:rPr>
      </w:pPr>
      <w:r>
        <w:rPr>
          <w:rFonts w:hint="eastAsia"/>
          <w:bCs/>
          <w:szCs w:val="21"/>
        </w:rPr>
        <w:t>农村生活污水，是指农村村民日常生活中产生的污水，以及从事农村公益事业、公共服务和民宿、农家乐等经营活动产生的污水。</w:t>
      </w:r>
    </w:p>
    <w:p>
      <w:pPr>
        <w:spacing w:line="576" w:lineRule="auto"/>
        <w:rPr>
          <w:rFonts w:ascii="黑体" w:hAnsi="黑体" w:eastAsia="黑体"/>
          <w:b/>
          <w:bCs/>
          <w:szCs w:val="21"/>
        </w:rPr>
      </w:pPr>
      <w:r>
        <w:rPr>
          <w:rFonts w:hint="eastAsia" w:ascii="黑体" w:hAnsi="黑体" w:eastAsia="黑体"/>
          <w:b/>
          <w:bCs/>
          <w:szCs w:val="21"/>
        </w:rPr>
        <w:t>3.</w:t>
      </w:r>
      <w:r>
        <w:rPr>
          <w:rFonts w:ascii="黑体" w:hAnsi="黑体" w:eastAsia="黑体"/>
          <w:b/>
          <w:bCs/>
          <w:szCs w:val="21"/>
        </w:rPr>
        <w:t xml:space="preserve">2  </w:t>
      </w:r>
      <w:r>
        <w:rPr>
          <w:rFonts w:hint="eastAsia" w:ascii="黑体" w:hAnsi="黑体" w:eastAsia="黑体"/>
          <w:b/>
          <w:bCs/>
          <w:szCs w:val="21"/>
        </w:rPr>
        <w:t>水质检测化验室</w:t>
      </w:r>
    </w:p>
    <w:p>
      <w:pPr>
        <w:spacing w:line="460" w:lineRule="exact"/>
        <w:ind w:firstLine="420" w:firstLineChars="200"/>
        <w:rPr>
          <w:bCs/>
          <w:szCs w:val="21"/>
        </w:rPr>
      </w:pPr>
      <w:r>
        <w:rPr>
          <w:rFonts w:hint="eastAsia"/>
          <w:bCs/>
          <w:szCs w:val="21"/>
        </w:rPr>
        <w:t>水质检测化验</w:t>
      </w:r>
      <w:r>
        <w:rPr>
          <w:bCs/>
          <w:szCs w:val="21"/>
        </w:rPr>
        <w:t>室是指</w:t>
      </w:r>
      <w:r>
        <w:rPr>
          <w:rFonts w:hint="eastAsia"/>
          <w:bCs/>
          <w:szCs w:val="21"/>
        </w:rPr>
        <w:t>化验员检测农村生活污水水质状况的场所。</w:t>
      </w:r>
    </w:p>
    <w:p>
      <w:pPr>
        <w:spacing w:line="576" w:lineRule="auto"/>
        <w:rPr>
          <w:rFonts w:ascii="黑体" w:hAnsi="黑体" w:eastAsia="黑体"/>
          <w:b/>
          <w:bCs/>
          <w:szCs w:val="21"/>
        </w:rPr>
      </w:pPr>
      <w:r>
        <w:rPr>
          <w:rFonts w:hint="eastAsia" w:ascii="黑体" w:hAnsi="黑体" w:eastAsia="黑体"/>
          <w:b/>
          <w:bCs/>
          <w:szCs w:val="21"/>
        </w:rPr>
        <w:t>3.</w:t>
      </w:r>
      <w:r>
        <w:rPr>
          <w:rFonts w:ascii="黑体" w:hAnsi="黑体" w:eastAsia="黑体"/>
          <w:b/>
          <w:bCs/>
          <w:szCs w:val="21"/>
        </w:rPr>
        <w:t xml:space="preserve">3  </w:t>
      </w:r>
      <w:r>
        <w:rPr>
          <w:rFonts w:hint="eastAsia" w:ascii="黑体" w:hAnsi="黑体" w:eastAsia="黑体"/>
          <w:b/>
          <w:bCs/>
          <w:szCs w:val="21"/>
        </w:rPr>
        <w:t>微生物室</w:t>
      </w:r>
    </w:p>
    <w:p>
      <w:pPr>
        <w:spacing w:line="460" w:lineRule="exact"/>
        <w:ind w:firstLine="420" w:firstLineChars="200"/>
        <w:rPr>
          <w:bCs/>
          <w:szCs w:val="21"/>
        </w:rPr>
      </w:pPr>
      <w:r>
        <w:rPr>
          <w:bCs/>
          <w:szCs w:val="21"/>
        </w:rPr>
        <w:t>微生物室是指进行微生物</w:t>
      </w:r>
      <w:r>
        <w:rPr>
          <w:rFonts w:hint="eastAsia"/>
          <w:bCs/>
          <w:szCs w:val="21"/>
        </w:rPr>
        <w:t>培养、检测、灭菌</w:t>
      </w:r>
      <w:r>
        <w:rPr>
          <w:bCs/>
          <w:szCs w:val="21"/>
        </w:rPr>
        <w:t>的场所</w:t>
      </w:r>
      <w:r>
        <w:rPr>
          <w:rFonts w:hint="eastAsia"/>
          <w:bCs/>
          <w:szCs w:val="21"/>
        </w:rPr>
        <w:t>，包含前期准备间和无菌室。</w:t>
      </w:r>
    </w:p>
    <w:p>
      <w:pPr>
        <w:spacing w:line="576" w:lineRule="auto"/>
        <w:rPr>
          <w:rFonts w:ascii="黑体" w:hAnsi="黑体" w:eastAsia="黑体"/>
          <w:b/>
          <w:bCs/>
          <w:szCs w:val="21"/>
        </w:rPr>
      </w:pPr>
      <w:r>
        <w:rPr>
          <w:rFonts w:hint="eastAsia" w:ascii="黑体" w:hAnsi="黑体" w:eastAsia="黑体"/>
          <w:b/>
          <w:bCs/>
          <w:szCs w:val="21"/>
        </w:rPr>
        <w:t>3.</w:t>
      </w:r>
      <w:r>
        <w:rPr>
          <w:rFonts w:ascii="黑体" w:hAnsi="黑体" w:eastAsia="黑体"/>
          <w:b/>
          <w:bCs/>
          <w:szCs w:val="21"/>
        </w:rPr>
        <w:t xml:space="preserve">4  </w:t>
      </w:r>
      <w:r>
        <w:rPr>
          <w:rFonts w:hint="eastAsia" w:ascii="黑体" w:hAnsi="黑体" w:eastAsia="黑体"/>
          <w:b/>
          <w:bCs/>
          <w:szCs w:val="21"/>
        </w:rPr>
        <w:t>天平室</w:t>
      </w:r>
    </w:p>
    <w:p>
      <w:pPr>
        <w:spacing w:line="460" w:lineRule="exact"/>
        <w:ind w:firstLine="420" w:firstLineChars="200"/>
        <w:rPr>
          <w:bCs/>
          <w:szCs w:val="21"/>
        </w:rPr>
      </w:pPr>
      <w:r>
        <w:rPr>
          <w:rFonts w:hint="eastAsia"/>
          <w:bCs/>
          <w:szCs w:val="21"/>
        </w:rPr>
        <w:t>天平室是指化验中进行准确称量的仪器间。</w:t>
      </w:r>
    </w:p>
    <w:p>
      <w:pPr>
        <w:spacing w:line="576" w:lineRule="auto"/>
        <w:rPr>
          <w:rFonts w:ascii="黑体" w:hAnsi="黑体" w:eastAsia="黑体"/>
          <w:b/>
          <w:bCs/>
          <w:szCs w:val="21"/>
        </w:rPr>
      </w:pPr>
      <w:r>
        <w:rPr>
          <w:rFonts w:hint="eastAsia" w:ascii="黑体" w:hAnsi="黑体" w:eastAsia="黑体"/>
          <w:b/>
          <w:bCs/>
          <w:szCs w:val="21"/>
        </w:rPr>
        <w:t>3.</w:t>
      </w:r>
      <w:r>
        <w:rPr>
          <w:rFonts w:ascii="黑体" w:hAnsi="黑体" w:eastAsia="黑体"/>
          <w:b/>
          <w:bCs/>
          <w:szCs w:val="21"/>
        </w:rPr>
        <w:t xml:space="preserve">5  </w:t>
      </w:r>
      <w:r>
        <w:rPr>
          <w:rFonts w:hint="eastAsia" w:ascii="黑体" w:hAnsi="黑体" w:eastAsia="黑体"/>
          <w:b/>
          <w:bCs/>
          <w:szCs w:val="21"/>
        </w:rPr>
        <w:t>分光室</w:t>
      </w:r>
    </w:p>
    <w:p>
      <w:pPr>
        <w:spacing w:line="460" w:lineRule="exact"/>
        <w:ind w:firstLine="420" w:firstLineChars="200"/>
        <w:rPr>
          <w:bCs/>
          <w:szCs w:val="21"/>
        </w:rPr>
      </w:pPr>
      <w:r>
        <w:rPr>
          <w:rFonts w:hint="eastAsia"/>
          <w:bCs/>
          <w:szCs w:val="21"/>
        </w:rPr>
        <w:t>分光室是指存放分光光度计，用于比色分析的房间。</w:t>
      </w:r>
    </w:p>
    <w:p>
      <w:pPr>
        <w:spacing w:line="576" w:lineRule="auto"/>
        <w:rPr>
          <w:rFonts w:ascii="黑体" w:hAnsi="黑体" w:eastAsia="黑体"/>
          <w:b/>
          <w:bCs/>
          <w:szCs w:val="21"/>
        </w:rPr>
      </w:pPr>
      <w:r>
        <w:rPr>
          <w:rFonts w:hint="eastAsia" w:ascii="黑体" w:hAnsi="黑体" w:eastAsia="黑体"/>
          <w:b/>
          <w:bCs/>
          <w:szCs w:val="21"/>
        </w:rPr>
        <w:t>3.</w:t>
      </w:r>
      <w:r>
        <w:rPr>
          <w:rFonts w:ascii="黑体" w:hAnsi="黑体" w:eastAsia="黑体"/>
          <w:b/>
          <w:bCs/>
          <w:szCs w:val="21"/>
        </w:rPr>
        <w:t xml:space="preserve">6  </w:t>
      </w:r>
      <w:r>
        <w:rPr>
          <w:rFonts w:hint="eastAsia" w:ascii="黑体" w:hAnsi="黑体" w:eastAsia="黑体"/>
          <w:b/>
          <w:bCs/>
          <w:szCs w:val="21"/>
        </w:rPr>
        <w:t>理化分析室</w:t>
      </w:r>
    </w:p>
    <w:p>
      <w:pPr>
        <w:spacing w:line="460" w:lineRule="exact"/>
        <w:ind w:firstLine="420" w:firstLineChars="200"/>
        <w:rPr>
          <w:bCs/>
          <w:szCs w:val="21"/>
        </w:rPr>
      </w:pPr>
      <w:r>
        <w:rPr>
          <w:rFonts w:hint="eastAsia"/>
          <w:bCs/>
          <w:szCs w:val="21"/>
        </w:rPr>
        <w:t>理化分析室是指利用物理、化学等分析手段进行分析，确定物质成分含量等的房间。</w:t>
      </w:r>
    </w:p>
    <w:p>
      <w:pPr>
        <w:spacing w:line="576" w:lineRule="auto"/>
        <w:rPr>
          <w:rFonts w:ascii="黑体" w:hAnsi="黑体" w:eastAsia="黑体"/>
          <w:b/>
          <w:bCs/>
          <w:szCs w:val="21"/>
        </w:rPr>
      </w:pPr>
      <w:r>
        <w:rPr>
          <w:rFonts w:hint="eastAsia" w:ascii="黑体" w:hAnsi="黑体" w:eastAsia="黑体"/>
          <w:b/>
          <w:bCs/>
          <w:szCs w:val="21"/>
        </w:rPr>
        <w:t>3.</w:t>
      </w:r>
      <w:r>
        <w:rPr>
          <w:rFonts w:ascii="黑体" w:hAnsi="黑体" w:eastAsia="黑体"/>
          <w:b/>
          <w:bCs/>
          <w:szCs w:val="21"/>
        </w:rPr>
        <w:t xml:space="preserve">7  </w:t>
      </w:r>
      <w:r>
        <w:rPr>
          <w:rFonts w:hint="eastAsia" w:ascii="黑体" w:hAnsi="黑体" w:eastAsia="黑体"/>
          <w:b/>
          <w:bCs/>
          <w:szCs w:val="21"/>
        </w:rPr>
        <w:t>红外测油室</w:t>
      </w:r>
    </w:p>
    <w:p>
      <w:pPr>
        <w:spacing w:line="460" w:lineRule="exact"/>
        <w:ind w:firstLine="420" w:firstLineChars="200"/>
        <w:rPr>
          <w:bCs/>
          <w:szCs w:val="21"/>
        </w:rPr>
      </w:pPr>
      <w:r>
        <w:rPr>
          <w:rFonts w:hint="eastAsia"/>
          <w:bCs/>
          <w:szCs w:val="21"/>
        </w:rPr>
        <w:t>红外测油室是指用于测定废水中油类的房间，包括前处理间和比色间。</w:t>
      </w:r>
    </w:p>
    <w:p>
      <w:pPr>
        <w:spacing w:line="576" w:lineRule="auto"/>
        <w:rPr>
          <w:rFonts w:ascii="黑体" w:hAnsi="黑体" w:eastAsia="黑体"/>
          <w:b/>
          <w:bCs/>
          <w:szCs w:val="21"/>
        </w:rPr>
      </w:pPr>
      <w:r>
        <w:rPr>
          <w:rFonts w:hint="eastAsia" w:ascii="黑体" w:hAnsi="黑体" w:eastAsia="黑体"/>
          <w:b/>
          <w:bCs/>
          <w:szCs w:val="21"/>
        </w:rPr>
        <w:t>3.</w:t>
      </w:r>
      <w:r>
        <w:rPr>
          <w:rFonts w:ascii="黑体" w:hAnsi="黑体" w:eastAsia="黑体"/>
          <w:b/>
          <w:bCs/>
          <w:szCs w:val="21"/>
        </w:rPr>
        <w:t xml:space="preserve">8  </w:t>
      </w:r>
      <w:r>
        <w:rPr>
          <w:rFonts w:hint="eastAsia" w:ascii="黑体" w:hAnsi="黑体" w:eastAsia="黑体"/>
          <w:b/>
          <w:bCs/>
          <w:szCs w:val="21"/>
        </w:rPr>
        <w:t>干燥间</w:t>
      </w:r>
    </w:p>
    <w:p>
      <w:pPr>
        <w:spacing w:line="460" w:lineRule="exact"/>
        <w:ind w:firstLine="420" w:firstLineChars="200"/>
        <w:rPr>
          <w:bCs/>
          <w:szCs w:val="21"/>
        </w:rPr>
      </w:pPr>
      <w:r>
        <w:rPr>
          <w:rFonts w:hint="eastAsia"/>
          <w:bCs/>
          <w:szCs w:val="21"/>
        </w:rPr>
        <w:t>干燥间是指存放一种烘干设备，通过一定技术手段，干燥物体表面的水分或者其他液体的房间。</w:t>
      </w:r>
    </w:p>
    <w:p>
      <w:pPr>
        <w:spacing w:line="576" w:lineRule="auto"/>
        <w:rPr>
          <w:rFonts w:ascii="黑体" w:hAnsi="黑体" w:eastAsia="黑体"/>
          <w:b/>
          <w:bCs/>
          <w:szCs w:val="21"/>
        </w:rPr>
      </w:pPr>
      <w:r>
        <w:rPr>
          <w:rFonts w:hint="eastAsia" w:ascii="黑体" w:hAnsi="黑体" w:eastAsia="黑体"/>
          <w:b/>
          <w:bCs/>
          <w:szCs w:val="21"/>
        </w:rPr>
        <w:t>3.</w:t>
      </w:r>
      <w:r>
        <w:rPr>
          <w:rFonts w:ascii="黑体" w:hAnsi="黑体" w:eastAsia="黑体"/>
          <w:b/>
          <w:bCs/>
          <w:szCs w:val="21"/>
        </w:rPr>
        <w:t xml:space="preserve">9  </w:t>
      </w:r>
      <w:r>
        <w:rPr>
          <w:rFonts w:hint="eastAsia" w:ascii="黑体" w:hAnsi="黑体" w:eastAsia="黑体"/>
          <w:b/>
          <w:bCs/>
          <w:szCs w:val="21"/>
        </w:rPr>
        <w:t>样品储存间</w:t>
      </w:r>
    </w:p>
    <w:p>
      <w:pPr>
        <w:spacing w:line="460" w:lineRule="exact"/>
        <w:ind w:firstLine="420" w:firstLineChars="200"/>
        <w:rPr>
          <w:bCs/>
          <w:szCs w:val="21"/>
        </w:rPr>
      </w:pPr>
      <w:r>
        <w:rPr>
          <w:rFonts w:hint="eastAsia"/>
          <w:bCs/>
          <w:szCs w:val="21"/>
        </w:rPr>
        <w:t>样品储存间是指用于存放待测样品及留存样品的房间。</w:t>
      </w:r>
    </w:p>
    <w:p>
      <w:pPr>
        <w:spacing w:line="576" w:lineRule="auto"/>
        <w:rPr>
          <w:rFonts w:ascii="黑体" w:hAnsi="黑体" w:eastAsia="黑体"/>
          <w:b/>
          <w:bCs/>
          <w:szCs w:val="21"/>
        </w:rPr>
      </w:pPr>
      <w:r>
        <w:rPr>
          <w:rFonts w:hint="eastAsia" w:ascii="黑体" w:hAnsi="黑体" w:eastAsia="黑体"/>
          <w:b/>
          <w:bCs/>
          <w:szCs w:val="21"/>
        </w:rPr>
        <w:t>3.</w:t>
      </w:r>
      <w:r>
        <w:rPr>
          <w:rFonts w:ascii="黑体" w:hAnsi="黑体" w:eastAsia="黑体"/>
          <w:b/>
          <w:bCs/>
          <w:szCs w:val="21"/>
        </w:rPr>
        <w:t xml:space="preserve">10  </w:t>
      </w:r>
      <w:r>
        <w:rPr>
          <w:rFonts w:hint="eastAsia" w:ascii="黑体" w:hAnsi="黑体" w:eastAsia="黑体"/>
          <w:b/>
          <w:bCs/>
          <w:szCs w:val="21"/>
        </w:rPr>
        <w:t>试剂及耗材储存间</w:t>
      </w:r>
    </w:p>
    <w:p>
      <w:pPr>
        <w:spacing w:line="460" w:lineRule="exact"/>
        <w:ind w:firstLine="420" w:firstLineChars="200"/>
        <w:rPr>
          <w:bCs/>
          <w:szCs w:val="21"/>
        </w:rPr>
      </w:pPr>
      <w:r>
        <w:rPr>
          <w:rFonts w:hint="eastAsia"/>
          <w:bCs/>
          <w:szCs w:val="21"/>
        </w:rPr>
        <w:t>试剂及耗材储存间是指用于存放试剂及消耗性材料的房间。</w:t>
      </w:r>
    </w:p>
    <w:p>
      <w:pPr>
        <w:pStyle w:val="2"/>
        <w:spacing w:before="0" w:after="0"/>
        <w:rPr>
          <w:rFonts w:ascii="黑体" w:hAnsi="黑体" w:eastAsia="黑体"/>
          <w:bCs/>
          <w:sz w:val="21"/>
          <w:szCs w:val="21"/>
        </w:rPr>
      </w:pPr>
      <w:bookmarkStart w:id="11" w:name="_Toc34083581"/>
      <w:r>
        <w:rPr>
          <w:rFonts w:hint="eastAsia" w:ascii="黑体" w:hAnsi="黑体" w:eastAsia="黑体"/>
          <w:bCs/>
          <w:sz w:val="21"/>
          <w:szCs w:val="21"/>
        </w:rPr>
        <w:t>4</w:t>
      </w:r>
      <w:r>
        <w:rPr>
          <w:rFonts w:ascii="黑体" w:hAnsi="黑体" w:eastAsia="黑体"/>
          <w:bCs/>
          <w:sz w:val="21"/>
          <w:szCs w:val="21"/>
        </w:rPr>
        <w:t xml:space="preserve">  </w:t>
      </w:r>
      <w:r>
        <w:rPr>
          <w:rFonts w:hint="eastAsia" w:ascii="黑体" w:hAnsi="黑体" w:eastAsia="黑体"/>
          <w:bCs/>
          <w:sz w:val="21"/>
          <w:szCs w:val="21"/>
        </w:rPr>
        <w:t>建设总体要求</w:t>
      </w:r>
      <w:bookmarkEnd w:id="11"/>
    </w:p>
    <w:p>
      <w:pPr>
        <w:spacing w:line="460" w:lineRule="exact"/>
        <w:jc w:val="left"/>
        <w:rPr>
          <w:bCs/>
          <w:szCs w:val="21"/>
        </w:rPr>
      </w:pPr>
      <w:r>
        <w:rPr>
          <w:rFonts w:ascii="黑体" w:hAnsi="黑体" w:eastAsia="黑体"/>
          <w:b/>
          <w:szCs w:val="21"/>
        </w:rPr>
        <w:t>4.1</w:t>
      </w:r>
      <w:r>
        <w:rPr>
          <w:bCs/>
          <w:szCs w:val="21"/>
        </w:rPr>
        <w:t xml:space="preserve">  农村生活污水水质检测化验室需建立完善的质量管理体系。</w:t>
      </w:r>
    </w:p>
    <w:p>
      <w:pPr>
        <w:spacing w:line="460" w:lineRule="exact"/>
        <w:jc w:val="left"/>
        <w:rPr>
          <w:bCs/>
          <w:szCs w:val="21"/>
        </w:rPr>
      </w:pPr>
      <w:r>
        <w:rPr>
          <w:rFonts w:hint="eastAsia" w:ascii="黑体" w:hAnsi="黑体" w:eastAsia="黑体"/>
          <w:b/>
          <w:szCs w:val="21"/>
        </w:rPr>
        <w:t>4</w:t>
      </w:r>
      <w:r>
        <w:rPr>
          <w:rFonts w:ascii="黑体" w:hAnsi="黑体" w:eastAsia="黑体"/>
          <w:b/>
          <w:szCs w:val="21"/>
        </w:rPr>
        <w:t>.2</w:t>
      </w:r>
      <w:r>
        <w:rPr>
          <w:bCs/>
          <w:szCs w:val="21"/>
        </w:rPr>
        <w:t xml:space="preserve">  </w:t>
      </w:r>
      <w:r>
        <w:rPr>
          <w:rFonts w:hint="eastAsia"/>
          <w:bCs/>
          <w:szCs w:val="21"/>
        </w:rPr>
        <w:t>化验室使用面积不小于100m</w:t>
      </w:r>
      <w:r>
        <w:rPr>
          <w:bCs/>
          <w:szCs w:val="21"/>
          <w:vertAlign w:val="superscript"/>
        </w:rPr>
        <w:t>2</w:t>
      </w:r>
      <w:r>
        <w:rPr>
          <w:rFonts w:hint="eastAsia"/>
          <w:bCs/>
          <w:szCs w:val="21"/>
        </w:rPr>
        <w:t>。</w:t>
      </w:r>
    </w:p>
    <w:p>
      <w:pPr>
        <w:spacing w:line="460" w:lineRule="exact"/>
        <w:jc w:val="left"/>
        <w:rPr>
          <w:bCs/>
          <w:szCs w:val="21"/>
        </w:rPr>
      </w:pPr>
      <w:r>
        <w:rPr>
          <w:rFonts w:hint="eastAsia" w:ascii="黑体" w:hAnsi="黑体" w:eastAsia="黑体"/>
          <w:b/>
          <w:szCs w:val="21"/>
        </w:rPr>
        <w:t>4</w:t>
      </w:r>
      <w:r>
        <w:rPr>
          <w:rFonts w:ascii="黑体" w:hAnsi="黑体" w:eastAsia="黑体"/>
          <w:b/>
          <w:szCs w:val="21"/>
        </w:rPr>
        <w:t>.3</w:t>
      </w:r>
      <w:r>
        <w:rPr>
          <w:bCs/>
          <w:szCs w:val="21"/>
        </w:rPr>
        <w:t xml:space="preserve">  </w:t>
      </w:r>
      <w:r>
        <w:rPr>
          <w:rFonts w:hint="eastAsia"/>
          <w:bCs/>
          <w:szCs w:val="21"/>
        </w:rPr>
        <w:t>农村生活污水处理设施运维服务机构水质化验室的检测能力包括基本检测项目和增设检测项目。根据DB33/973排放标准化验室必须满足基本检测项目，由运维服务机构根据需求自行选择增设检测项目。基本检测项目有8项：pH值、化学需氧量、氨氮、总磷、动植物油、悬浮物、粪大肠菌群、总氮；增设检测项目有B</w:t>
      </w:r>
      <w:r>
        <w:rPr>
          <w:bCs/>
          <w:szCs w:val="21"/>
        </w:rPr>
        <w:t>OD5</w:t>
      </w:r>
      <w:r>
        <w:rPr>
          <w:rFonts w:hint="eastAsia"/>
          <w:bCs/>
          <w:szCs w:val="21"/>
        </w:rPr>
        <w:t>、阴离子表面活性剂、色度等。</w:t>
      </w:r>
    </w:p>
    <w:p>
      <w:pPr>
        <w:spacing w:line="460" w:lineRule="exact"/>
        <w:jc w:val="left"/>
        <w:rPr>
          <w:bCs/>
          <w:szCs w:val="21"/>
        </w:rPr>
      </w:pPr>
      <w:r>
        <w:rPr>
          <w:rFonts w:hint="eastAsia" w:ascii="黑体" w:hAnsi="黑体" w:eastAsia="黑体"/>
          <w:b/>
          <w:szCs w:val="21"/>
        </w:rPr>
        <w:t>4</w:t>
      </w:r>
      <w:r>
        <w:rPr>
          <w:rFonts w:ascii="黑体" w:hAnsi="黑体" w:eastAsia="黑体"/>
          <w:b/>
          <w:szCs w:val="21"/>
        </w:rPr>
        <w:t xml:space="preserve">.4  </w:t>
      </w:r>
      <w:r>
        <w:rPr>
          <w:rFonts w:hint="eastAsia"/>
          <w:bCs/>
          <w:szCs w:val="21"/>
        </w:rPr>
        <w:t>检测项目要符合国家和地方最新的标准及要求。</w:t>
      </w:r>
    </w:p>
    <w:p>
      <w:pPr>
        <w:pStyle w:val="2"/>
        <w:spacing w:before="0" w:after="0"/>
        <w:rPr>
          <w:rFonts w:ascii="黑体" w:hAnsi="黑体" w:eastAsia="黑体"/>
          <w:bCs/>
          <w:sz w:val="21"/>
          <w:szCs w:val="21"/>
        </w:rPr>
      </w:pPr>
      <w:bookmarkStart w:id="12" w:name="_Toc34083582"/>
      <w:r>
        <w:rPr>
          <w:rFonts w:ascii="黑体" w:hAnsi="黑体" w:eastAsia="黑体"/>
          <w:bCs/>
          <w:sz w:val="21"/>
          <w:szCs w:val="21"/>
        </w:rPr>
        <w:t xml:space="preserve">5  </w:t>
      </w:r>
      <w:r>
        <w:rPr>
          <w:rFonts w:hint="eastAsia" w:ascii="黑体" w:hAnsi="黑体" w:eastAsia="黑体"/>
          <w:bCs/>
          <w:sz w:val="21"/>
          <w:szCs w:val="21"/>
        </w:rPr>
        <w:t>选址和布局</w:t>
      </w:r>
      <w:bookmarkEnd w:id="12"/>
    </w:p>
    <w:p>
      <w:pPr>
        <w:spacing w:line="576" w:lineRule="auto"/>
        <w:rPr>
          <w:rFonts w:ascii="黑体" w:hAnsi="黑体" w:eastAsia="黑体"/>
          <w:b/>
          <w:bCs/>
          <w:szCs w:val="21"/>
        </w:rPr>
      </w:pPr>
      <w:bookmarkStart w:id="13" w:name="_Toc34083583"/>
      <w:r>
        <w:rPr>
          <w:rFonts w:ascii="黑体" w:hAnsi="黑体" w:eastAsia="黑体"/>
          <w:b/>
          <w:bCs/>
          <w:szCs w:val="21"/>
        </w:rPr>
        <w:t>5.1  选址</w:t>
      </w:r>
      <w:bookmarkEnd w:id="13"/>
    </w:p>
    <w:p>
      <w:pPr>
        <w:spacing w:line="460" w:lineRule="exact"/>
        <w:ind w:firstLine="420"/>
        <w:jc w:val="left"/>
        <w:rPr>
          <w:bCs/>
          <w:szCs w:val="21"/>
        </w:rPr>
      </w:pPr>
      <w:r>
        <w:rPr>
          <w:rFonts w:hint="eastAsia"/>
          <w:bCs/>
          <w:szCs w:val="21"/>
        </w:rPr>
        <w:t>根据化验室的周边环境情况，充分考虑环境保护工艺设计要求，主要包括噪音防护、辐射防护、生物安全防护，具体的条件是：</w:t>
      </w:r>
    </w:p>
    <w:p>
      <w:pPr>
        <w:spacing w:line="460" w:lineRule="exact"/>
        <w:jc w:val="left"/>
        <w:rPr>
          <w:bCs/>
          <w:szCs w:val="21"/>
        </w:rPr>
      </w:pPr>
      <w:r>
        <w:rPr>
          <w:rFonts w:hint="eastAsia" w:ascii="黑体" w:hAnsi="黑体" w:eastAsia="黑体"/>
          <w:b/>
          <w:szCs w:val="21"/>
        </w:rPr>
        <w:t>5.1.1</w:t>
      </w:r>
      <w:r>
        <w:rPr>
          <w:rFonts w:ascii="黑体" w:hAnsi="黑体" w:eastAsia="黑体"/>
          <w:b/>
          <w:szCs w:val="21"/>
        </w:rPr>
        <w:t xml:space="preserve">  </w:t>
      </w:r>
      <w:r>
        <w:rPr>
          <w:rFonts w:hint="eastAsia"/>
          <w:bCs/>
          <w:szCs w:val="21"/>
        </w:rPr>
        <w:t>化验室应尽量选择在清洁安静的场所，远离生活区，商业街，交通要道，产生废气和烟尘的工厂企业。</w:t>
      </w:r>
    </w:p>
    <w:p>
      <w:pPr>
        <w:spacing w:line="460" w:lineRule="exact"/>
        <w:jc w:val="left"/>
        <w:rPr>
          <w:bCs/>
          <w:szCs w:val="21"/>
        </w:rPr>
      </w:pPr>
      <w:r>
        <w:rPr>
          <w:rFonts w:hint="eastAsia" w:ascii="黑体" w:hAnsi="黑体" w:eastAsia="黑体"/>
          <w:b/>
          <w:szCs w:val="21"/>
        </w:rPr>
        <w:t>5.1.2</w:t>
      </w:r>
      <w:r>
        <w:rPr>
          <w:rFonts w:ascii="黑体" w:hAnsi="黑体" w:eastAsia="黑体"/>
          <w:b/>
          <w:szCs w:val="21"/>
        </w:rPr>
        <w:t xml:space="preserve">  </w:t>
      </w:r>
      <w:r>
        <w:rPr>
          <w:rFonts w:hint="eastAsia"/>
          <w:bCs/>
          <w:szCs w:val="21"/>
        </w:rPr>
        <w:t>化验室应选择在光线充足，通风良好的场所，要与其他建筑有一定距离。</w:t>
      </w:r>
    </w:p>
    <w:p>
      <w:pPr>
        <w:spacing w:line="460" w:lineRule="exact"/>
        <w:jc w:val="left"/>
        <w:rPr>
          <w:bCs/>
          <w:szCs w:val="21"/>
        </w:rPr>
      </w:pPr>
      <w:r>
        <w:rPr>
          <w:rFonts w:hint="eastAsia" w:ascii="黑体" w:hAnsi="黑体" w:eastAsia="黑体"/>
          <w:b/>
          <w:szCs w:val="21"/>
        </w:rPr>
        <w:t>5.1.3</w:t>
      </w:r>
      <w:r>
        <w:rPr>
          <w:rFonts w:ascii="黑体" w:hAnsi="黑体" w:eastAsia="黑体"/>
          <w:b/>
          <w:szCs w:val="21"/>
        </w:rPr>
        <w:t xml:space="preserve">  </w:t>
      </w:r>
      <w:r>
        <w:rPr>
          <w:rFonts w:hint="eastAsia"/>
          <w:bCs/>
          <w:szCs w:val="21"/>
        </w:rPr>
        <w:t>化验室应选择在便于样品采集、运输的地方，充分考虑交通的便利性。</w:t>
      </w:r>
    </w:p>
    <w:p>
      <w:pPr>
        <w:spacing w:line="460" w:lineRule="exact"/>
        <w:jc w:val="left"/>
        <w:rPr>
          <w:bCs/>
          <w:szCs w:val="21"/>
        </w:rPr>
      </w:pPr>
      <w:r>
        <w:rPr>
          <w:rFonts w:hint="eastAsia" w:ascii="黑体" w:hAnsi="黑体" w:eastAsia="黑体"/>
          <w:b/>
          <w:szCs w:val="21"/>
        </w:rPr>
        <w:t>5.1.4</w:t>
      </w:r>
      <w:r>
        <w:rPr>
          <w:rFonts w:ascii="黑体" w:hAnsi="黑体" w:eastAsia="黑体"/>
          <w:b/>
          <w:szCs w:val="21"/>
        </w:rPr>
        <w:t xml:space="preserve">  </w:t>
      </w:r>
      <w:r>
        <w:rPr>
          <w:rFonts w:hint="eastAsia"/>
          <w:bCs/>
          <w:szCs w:val="21"/>
        </w:rPr>
        <w:t>化验室应远离发射塔（终端）、高压电线、高压配电房等有辐射的建筑物。</w:t>
      </w:r>
    </w:p>
    <w:p>
      <w:pPr>
        <w:spacing w:line="460" w:lineRule="exact"/>
        <w:ind w:firstLine="420"/>
        <w:jc w:val="left"/>
        <w:rPr>
          <w:bCs/>
          <w:szCs w:val="21"/>
        </w:rPr>
      </w:pPr>
      <w:r>
        <w:rPr>
          <w:rFonts w:hint="eastAsia"/>
          <w:bCs/>
          <w:szCs w:val="21"/>
        </w:rPr>
        <w:t>化验室的选址该最大限度地尊重所在地的生态环境，以低碳、循环经济的生态理念，并符合当下社会发展趋势要求。</w:t>
      </w:r>
    </w:p>
    <w:p>
      <w:pPr>
        <w:spacing w:line="576" w:lineRule="auto"/>
        <w:rPr>
          <w:rFonts w:ascii="黑体" w:hAnsi="黑体" w:eastAsia="黑体"/>
          <w:b/>
          <w:bCs/>
          <w:szCs w:val="21"/>
        </w:rPr>
      </w:pPr>
      <w:bookmarkStart w:id="14" w:name="_Toc34083584"/>
      <w:r>
        <w:rPr>
          <w:rFonts w:ascii="黑体" w:hAnsi="黑体" w:eastAsia="黑体"/>
          <w:b/>
          <w:bCs/>
          <w:szCs w:val="21"/>
        </w:rPr>
        <w:t>5.2  布局</w:t>
      </w:r>
      <w:bookmarkEnd w:id="14"/>
    </w:p>
    <w:p>
      <w:pPr>
        <w:spacing w:line="460" w:lineRule="exact"/>
        <w:ind w:firstLine="420"/>
        <w:jc w:val="left"/>
        <w:rPr>
          <w:bCs/>
          <w:szCs w:val="21"/>
        </w:rPr>
      </w:pPr>
      <w:r>
        <w:rPr>
          <w:rFonts w:hint="eastAsia"/>
          <w:bCs/>
          <w:szCs w:val="21"/>
        </w:rPr>
        <w:t>检测化验室总体布局主要包括实验核心区域、辅助区域、公共设施区域、</w:t>
      </w:r>
      <w:bookmarkStart w:id="15" w:name="_Hlk16758611"/>
      <w:r>
        <w:rPr>
          <w:rFonts w:hint="eastAsia"/>
          <w:bCs/>
          <w:szCs w:val="21"/>
        </w:rPr>
        <w:t>三废处置</w:t>
      </w:r>
      <w:bookmarkEnd w:id="15"/>
      <w:r>
        <w:rPr>
          <w:rFonts w:hint="eastAsia"/>
          <w:bCs/>
          <w:szCs w:val="21"/>
        </w:rPr>
        <w:t>设施区域，其中：</w:t>
      </w:r>
    </w:p>
    <w:p>
      <w:pPr>
        <w:spacing w:line="460" w:lineRule="exact"/>
        <w:jc w:val="left"/>
        <w:rPr>
          <w:bCs/>
          <w:szCs w:val="21"/>
        </w:rPr>
      </w:pPr>
      <w:r>
        <w:rPr>
          <w:rFonts w:hint="eastAsia"/>
          <w:bCs/>
          <w:szCs w:val="21"/>
        </w:rPr>
        <w:t>——核心区域包括化验室工作区、化验室缓冲区、样品间、试剂及耗材间等；</w:t>
      </w:r>
    </w:p>
    <w:p>
      <w:pPr>
        <w:spacing w:line="460" w:lineRule="exact"/>
        <w:jc w:val="left"/>
        <w:rPr>
          <w:bCs/>
          <w:szCs w:val="21"/>
        </w:rPr>
      </w:pPr>
      <w:r>
        <w:rPr>
          <w:rFonts w:hint="eastAsia"/>
          <w:bCs/>
          <w:szCs w:val="21"/>
        </w:rPr>
        <w:t>——辅助区域包括接待室、资料档案室、数据处理区、办公室等；</w:t>
      </w:r>
    </w:p>
    <w:p>
      <w:pPr>
        <w:spacing w:line="460" w:lineRule="exact"/>
        <w:jc w:val="left"/>
        <w:rPr>
          <w:bCs/>
          <w:szCs w:val="21"/>
        </w:rPr>
      </w:pPr>
      <w:r>
        <w:rPr>
          <w:rFonts w:hint="eastAsia"/>
          <w:bCs/>
          <w:szCs w:val="21"/>
        </w:rPr>
        <w:t>——公共区域包括暖通、空调、给排水、纯水区等；</w:t>
      </w:r>
    </w:p>
    <w:p>
      <w:pPr>
        <w:spacing w:line="460" w:lineRule="exact"/>
        <w:jc w:val="left"/>
        <w:rPr>
          <w:bCs/>
          <w:szCs w:val="21"/>
        </w:rPr>
      </w:pPr>
      <w:r>
        <w:rPr>
          <w:rFonts w:hint="eastAsia"/>
          <w:bCs/>
          <w:szCs w:val="21"/>
        </w:rPr>
        <w:t>——三废处置设施区域包括通风橱、废液缸、废物桶等的安装位置或放置场所。</w:t>
      </w:r>
    </w:p>
    <w:p>
      <w:pPr>
        <w:spacing w:line="460" w:lineRule="exact"/>
        <w:jc w:val="left"/>
        <w:rPr>
          <w:bCs/>
          <w:szCs w:val="21"/>
        </w:rPr>
      </w:pPr>
      <w:r>
        <w:rPr>
          <w:rFonts w:hint="eastAsia" w:ascii="黑体" w:hAnsi="黑体" w:eastAsia="黑体"/>
          <w:b/>
          <w:szCs w:val="21"/>
        </w:rPr>
        <w:t>5.2.1</w:t>
      </w:r>
      <w:r>
        <w:rPr>
          <w:rFonts w:ascii="黑体" w:hAnsi="黑体" w:eastAsia="黑体"/>
          <w:b/>
          <w:szCs w:val="21"/>
        </w:rPr>
        <w:t xml:space="preserve">  </w:t>
      </w:r>
      <w:r>
        <w:rPr>
          <w:rFonts w:hint="eastAsia"/>
          <w:bCs/>
          <w:szCs w:val="21"/>
        </w:rPr>
        <w:t>核心区域的房间之间布局时要避免交叉污染；</w:t>
      </w:r>
    </w:p>
    <w:p>
      <w:pPr>
        <w:spacing w:line="460" w:lineRule="exact"/>
        <w:jc w:val="left"/>
        <w:rPr>
          <w:bCs/>
          <w:szCs w:val="21"/>
        </w:rPr>
      </w:pPr>
      <w:r>
        <w:rPr>
          <w:rFonts w:hint="eastAsia" w:ascii="黑体" w:hAnsi="黑体" w:eastAsia="黑体"/>
          <w:b/>
          <w:szCs w:val="21"/>
        </w:rPr>
        <w:t>5.2.2</w:t>
      </w:r>
      <w:r>
        <w:rPr>
          <w:rFonts w:ascii="黑体" w:hAnsi="黑体" w:eastAsia="黑体"/>
          <w:b/>
          <w:szCs w:val="21"/>
        </w:rPr>
        <w:t xml:space="preserve">  </w:t>
      </w:r>
      <w:r>
        <w:rPr>
          <w:rFonts w:hint="eastAsia"/>
          <w:bCs/>
          <w:szCs w:val="21"/>
        </w:rPr>
        <w:t>化验室最好朝向东南向，便于采光；仪器间最好朝向西北向，便于温湿度控制。</w:t>
      </w:r>
    </w:p>
    <w:p>
      <w:pPr>
        <w:spacing w:line="460" w:lineRule="exact"/>
        <w:jc w:val="left"/>
        <w:rPr>
          <w:bCs/>
          <w:szCs w:val="21"/>
        </w:rPr>
      </w:pPr>
      <w:r>
        <w:rPr>
          <w:rFonts w:hint="eastAsia" w:ascii="黑体" w:hAnsi="黑体" w:eastAsia="黑体"/>
          <w:b/>
          <w:szCs w:val="21"/>
        </w:rPr>
        <w:t>5.2.3</w:t>
      </w:r>
      <w:r>
        <w:rPr>
          <w:rFonts w:ascii="黑体" w:hAnsi="黑体" w:eastAsia="黑体"/>
          <w:b/>
          <w:szCs w:val="21"/>
        </w:rPr>
        <w:t xml:space="preserve">  </w:t>
      </w:r>
      <w:r>
        <w:rPr>
          <w:rFonts w:hint="eastAsia"/>
          <w:bCs/>
          <w:szCs w:val="21"/>
        </w:rPr>
        <w:t>检测化验室需具备良好的通风性，在通风情况不利的条件下，需设置新风系统，以免对化验员造成伤害，对样品产生污染。</w:t>
      </w:r>
    </w:p>
    <w:p>
      <w:pPr>
        <w:spacing w:line="460" w:lineRule="exact"/>
        <w:jc w:val="left"/>
        <w:rPr>
          <w:bCs/>
          <w:szCs w:val="21"/>
        </w:rPr>
      </w:pPr>
      <w:r>
        <w:rPr>
          <w:rFonts w:hint="eastAsia" w:ascii="黑体" w:hAnsi="黑体" w:eastAsia="黑体"/>
          <w:b/>
          <w:szCs w:val="21"/>
        </w:rPr>
        <w:t>5.2.4</w:t>
      </w:r>
      <w:r>
        <w:rPr>
          <w:rFonts w:ascii="黑体" w:hAnsi="黑体" w:eastAsia="黑体"/>
          <w:b/>
          <w:szCs w:val="21"/>
        </w:rPr>
        <w:t xml:space="preserve">  </w:t>
      </w:r>
      <w:r>
        <w:rPr>
          <w:rFonts w:hint="eastAsia"/>
          <w:bCs/>
          <w:szCs w:val="21"/>
        </w:rPr>
        <w:t>检测化验室需合理的布局电、水、气等配管方式，必须根据化验室将要开展项目和建筑形式在设计时充分考虑。</w:t>
      </w:r>
    </w:p>
    <w:p>
      <w:pPr>
        <w:spacing w:line="460" w:lineRule="exact"/>
        <w:jc w:val="left"/>
        <w:rPr>
          <w:bCs/>
          <w:szCs w:val="21"/>
        </w:rPr>
      </w:pPr>
      <w:r>
        <w:rPr>
          <w:rFonts w:hint="eastAsia" w:ascii="黑体" w:hAnsi="黑体" w:eastAsia="黑体"/>
          <w:b/>
          <w:szCs w:val="21"/>
        </w:rPr>
        <w:t>5.2.5</w:t>
      </w:r>
      <w:r>
        <w:rPr>
          <w:rFonts w:ascii="黑体" w:hAnsi="黑体" w:eastAsia="黑体"/>
          <w:b/>
          <w:szCs w:val="21"/>
        </w:rPr>
        <w:t xml:space="preserve">  </w:t>
      </w:r>
      <w:r>
        <w:rPr>
          <w:rFonts w:hint="eastAsia"/>
          <w:bCs/>
          <w:szCs w:val="21"/>
        </w:rPr>
        <w:t>化验室走廊及门窗的尺寸要求：走廊宽度应&gt;1.5m，门框尺寸（宽*高）：0.90m*2.0m。农村生活污水检测化验室功能参考示意图可参考图1。</w:t>
      </w:r>
    </w:p>
    <w:p>
      <w:pPr>
        <w:spacing w:line="460" w:lineRule="exact"/>
        <w:jc w:val="left"/>
        <w:rPr>
          <w:bCs/>
          <w:szCs w:val="21"/>
        </w:rPr>
      </w:pPr>
    </w:p>
    <w:p>
      <w:pPr>
        <w:spacing w:beforeLines="50" w:afterLines="50" w:line="360" w:lineRule="auto"/>
        <w:jc w:val="center"/>
        <w:rPr>
          <w:bCs/>
          <w:szCs w:val="21"/>
        </w:rPr>
      </w:pPr>
      <w:r>
        <w:rPr>
          <w:rFonts w:hint="eastAsia"/>
          <w:bCs/>
          <w:szCs w:val="21"/>
        </w:rPr>
        <w:t>图5-1 化验室布局示意图</w:t>
      </w:r>
    </w:p>
    <w:p>
      <w:pPr>
        <w:spacing w:beforeLines="50" w:afterLines="50" w:line="360" w:lineRule="auto"/>
        <w:rPr>
          <w:bCs/>
          <w:szCs w:val="21"/>
        </w:rPr>
      </w:pPr>
      <w:r>
        <w:drawing>
          <wp:inline distT="0" distB="0" distL="0" distR="0">
            <wp:extent cx="5274310" cy="288671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stretch>
                      <a:fillRect/>
                    </a:stretch>
                  </pic:blipFill>
                  <pic:spPr>
                    <a:xfrm>
                      <a:off x="0" y="0"/>
                      <a:ext cx="5274310" cy="2886710"/>
                    </a:xfrm>
                    <a:prstGeom prst="rect">
                      <a:avLst/>
                    </a:prstGeom>
                  </pic:spPr>
                </pic:pic>
              </a:graphicData>
            </a:graphic>
          </wp:inline>
        </w:drawing>
      </w:r>
    </w:p>
    <w:p>
      <w:pPr>
        <w:pStyle w:val="2"/>
        <w:spacing w:before="0" w:after="0"/>
        <w:rPr>
          <w:rFonts w:ascii="黑体" w:hAnsi="黑体" w:eastAsia="黑体"/>
          <w:bCs/>
          <w:sz w:val="21"/>
          <w:szCs w:val="21"/>
        </w:rPr>
      </w:pPr>
      <w:bookmarkStart w:id="16" w:name="_Toc34083585"/>
      <w:r>
        <w:rPr>
          <w:rFonts w:hint="eastAsia" w:ascii="黑体" w:hAnsi="黑体" w:eastAsia="黑体"/>
          <w:bCs/>
          <w:sz w:val="21"/>
          <w:szCs w:val="21"/>
        </w:rPr>
        <w:t>6</w:t>
      </w:r>
      <w:r>
        <w:rPr>
          <w:rFonts w:ascii="黑体" w:hAnsi="黑体" w:eastAsia="黑体"/>
          <w:bCs/>
          <w:sz w:val="21"/>
          <w:szCs w:val="21"/>
        </w:rPr>
        <w:t xml:space="preserve">  </w:t>
      </w:r>
      <w:r>
        <w:rPr>
          <w:rFonts w:hint="eastAsia" w:ascii="黑体" w:hAnsi="黑体" w:eastAsia="黑体"/>
          <w:bCs/>
          <w:sz w:val="21"/>
          <w:szCs w:val="21"/>
        </w:rPr>
        <w:t>化验室的内部设计</w:t>
      </w:r>
      <w:bookmarkEnd w:id="16"/>
    </w:p>
    <w:p>
      <w:pPr>
        <w:spacing w:line="576" w:lineRule="auto"/>
        <w:rPr>
          <w:rFonts w:ascii="黑体" w:hAnsi="黑体" w:eastAsia="黑体"/>
          <w:b/>
          <w:bCs/>
          <w:szCs w:val="21"/>
        </w:rPr>
      </w:pPr>
      <w:bookmarkStart w:id="17" w:name="_Toc34083586"/>
      <w:r>
        <w:rPr>
          <w:rFonts w:ascii="黑体" w:hAnsi="黑体" w:eastAsia="黑体"/>
          <w:b/>
          <w:bCs/>
          <w:szCs w:val="21"/>
        </w:rPr>
        <w:t>6.1  化验室设计原则</w:t>
      </w:r>
      <w:bookmarkEnd w:id="17"/>
    </w:p>
    <w:p>
      <w:pPr>
        <w:spacing w:line="460" w:lineRule="exact"/>
        <w:jc w:val="left"/>
        <w:rPr>
          <w:bCs/>
          <w:szCs w:val="21"/>
        </w:rPr>
      </w:pPr>
      <w:r>
        <w:rPr>
          <w:rFonts w:hint="eastAsia" w:ascii="黑体" w:hAnsi="黑体" w:eastAsia="黑体"/>
          <w:b/>
          <w:bCs/>
          <w:szCs w:val="21"/>
        </w:rPr>
        <w:t>6.1.1</w:t>
      </w:r>
      <w:r>
        <w:rPr>
          <w:rFonts w:ascii="黑体" w:hAnsi="黑体" w:eastAsia="黑体"/>
          <w:b/>
          <w:bCs/>
          <w:szCs w:val="21"/>
        </w:rPr>
        <w:t xml:space="preserve">  </w:t>
      </w:r>
      <w:r>
        <w:rPr>
          <w:rFonts w:hint="eastAsia"/>
          <w:bCs/>
          <w:szCs w:val="21"/>
        </w:rPr>
        <w:t>安全性：化验室设备应该考虑具备相应的安全设计，能有效预防责任事故的产生；如台面的选用、柜体的材质选用、五金配件的选用等等。</w:t>
      </w:r>
    </w:p>
    <w:p>
      <w:pPr>
        <w:spacing w:line="460" w:lineRule="exact"/>
        <w:jc w:val="left"/>
        <w:rPr>
          <w:bCs/>
          <w:szCs w:val="21"/>
        </w:rPr>
      </w:pPr>
      <w:r>
        <w:rPr>
          <w:rFonts w:hint="eastAsia" w:ascii="黑体" w:hAnsi="黑体" w:eastAsia="黑体"/>
          <w:b/>
          <w:bCs/>
          <w:szCs w:val="21"/>
        </w:rPr>
        <w:t>6.1.2</w:t>
      </w:r>
      <w:r>
        <w:rPr>
          <w:rFonts w:ascii="黑体" w:hAnsi="黑体" w:eastAsia="黑体"/>
          <w:b/>
          <w:bCs/>
          <w:szCs w:val="21"/>
        </w:rPr>
        <w:t xml:space="preserve">  </w:t>
      </w:r>
      <w:r>
        <w:rPr>
          <w:rFonts w:hint="eastAsia"/>
          <w:bCs/>
          <w:szCs w:val="21"/>
        </w:rPr>
        <w:t>人性化：合理的化验室设备配置和空间的优化组合是实现人性化的最基本因素。</w:t>
      </w:r>
    </w:p>
    <w:p>
      <w:pPr>
        <w:spacing w:line="460" w:lineRule="exact"/>
        <w:jc w:val="left"/>
        <w:rPr>
          <w:bCs/>
          <w:szCs w:val="21"/>
        </w:rPr>
      </w:pPr>
      <w:r>
        <w:rPr>
          <w:rFonts w:hint="eastAsia" w:ascii="黑体" w:hAnsi="黑体" w:eastAsia="黑体"/>
          <w:b/>
          <w:bCs/>
          <w:szCs w:val="21"/>
        </w:rPr>
        <w:t>6.1.3</w:t>
      </w:r>
      <w:r>
        <w:rPr>
          <w:rFonts w:ascii="黑体" w:hAnsi="黑体" w:eastAsia="黑体"/>
          <w:b/>
          <w:bCs/>
          <w:szCs w:val="21"/>
        </w:rPr>
        <w:t xml:space="preserve">  </w:t>
      </w:r>
      <w:r>
        <w:rPr>
          <w:rFonts w:hint="eastAsia"/>
          <w:bCs/>
          <w:szCs w:val="21"/>
        </w:rPr>
        <w:t>实用性：供应商提供的产品满足化验室实验需要是最现实的要素。</w:t>
      </w:r>
    </w:p>
    <w:p>
      <w:pPr>
        <w:spacing w:line="576" w:lineRule="auto"/>
        <w:rPr>
          <w:rFonts w:ascii="黑体" w:hAnsi="黑体" w:eastAsia="黑体"/>
          <w:b/>
          <w:bCs/>
          <w:szCs w:val="21"/>
        </w:rPr>
      </w:pPr>
      <w:bookmarkStart w:id="18" w:name="_Toc34083587"/>
      <w:r>
        <w:rPr>
          <w:rFonts w:ascii="黑体" w:hAnsi="黑体" w:eastAsia="黑体"/>
          <w:b/>
          <w:bCs/>
          <w:szCs w:val="21"/>
        </w:rPr>
        <w:t xml:space="preserve">6.2  </w:t>
      </w:r>
      <w:r>
        <w:fldChar w:fldCharType="begin"/>
      </w:r>
      <w:r>
        <w:instrText xml:space="preserve"> HYPERLINK "http://szhobo.net/product_show.asp?id=470&amp;Cid=27" </w:instrText>
      </w:r>
      <w:r>
        <w:fldChar w:fldCharType="separate"/>
      </w:r>
      <w:r>
        <w:rPr>
          <w:rFonts w:ascii="黑体" w:hAnsi="黑体" w:eastAsia="黑体"/>
          <w:b/>
          <w:bCs/>
          <w:szCs w:val="21"/>
        </w:rPr>
        <w:t>化验室设计</w:t>
      </w:r>
      <w:r>
        <w:rPr>
          <w:rFonts w:ascii="黑体" w:hAnsi="黑体" w:eastAsia="黑体"/>
          <w:b/>
          <w:bCs/>
          <w:szCs w:val="21"/>
        </w:rPr>
        <w:fldChar w:fldCharType="end"/>
      </w:r>
      <w:r>
        <w:rPr>
          <w:rFonts w:ascii="黑体" w:hAnsi="黑体" w:eastAsia="黑体"/>
          <w:b/>
          <w:bCs/>
          <w:szCs w:val="21"/>
        </w:rPr>
        <w:t>总体要求</w:t>
      </w:r>
      <w:bookmarkEnd w:id="18"/>
    </w:p>
    <w:p>
      <w:pPr>
        <w:spacing w:line="460" w:lineRule="exact"/>
        <w:jc w:val="left"/>
        <w:rPr>
          <w:bCs/>
          <w:szCs w:val="21"/>
        </w:rPr>
      </w:pPr>
      <w:r>
        <w:rPr>
          <w:rFonts w:hint="eastAsia" w:ascii="黑体" w:hAnsi="黑体" w:eastAsia="黑体"/>
          <w:b/>
          <w:bCs/>
          <w:szCs w:val="21"/>
        </w:rPr>
        <w:t>6.2.1</w:t>
      </w:r>
      <w:r>
        <w:rPr>
          <w:rFonts w:ascii="黑体" w:hAnsi="黑体" w:eastAsia="黑体"/>
          <w:b/>
          <w:bCs/>
          <w:szCs w:val="21"/>
        </w:rPr>
        <w:t xml:space="preserve">  </w:t>
      </w:r>
      <w:r>
        <w:rPr>
          <w:rFonts w:hint="eastAsia"/>
          <w:bCs/>
          <w:szCs w:val="21"/>
        </w:rPr>
        <w:t>实验所用通风柜、试验台等设施均要求为防酸碱材质，</w:t>
      </w:r>
      <w:r>
        <w:rPr>
          <w:rFonts w:hint="eastAsia"/>
          <w:bCs/>
          <w:color w:val="000000" w:themeColor="text1"/>
          <w:szCs w:val="21"/>
        </w:rPr>
        <w:t>实验台采用标准组合式</w:t>
      </w:r>
      <w:r>
        <w:rPr>
          <w:rFonts w:hint="eastAsia"/>
          <w:bCs/>
          <w:szCs w:val="21"/>
        </w:rPr>
        <w:t>。</w:t>
      </w:r>
    </w:p>
    <w:p>
      <w:pPr>
        <w:spacing w:line="460" w:lineRule="exact"/>
        <w:jc w:val="left"/>
        <w:rPr>
          <w:bCs/>
          <w:szCs w:val="21"/>
        </w:rPr>
      </w:pPr>
      <w:r>
        <w:rPr>
          <w:rFonts w:hint="eastAsia" w:ascii="黑体" w:hAnsi="黑体" w:eastAsia="黑体"/>
          <w:b/>
          <w:bCs/>
          <w:szCs w:val="21"/>
        </w:rPr>
        <w:t>6.2.2</w:t>
      </w:r>
      <w:r>
        <w:rPr>
          <w:rFonts w:ascii="黑体" w:hAnsi="黑体" w:eastAsia="黑体"/>
          <w:b/>
          <w:bCs/>
          <w:szCs w:val="21"/>
        </w:rPr>
        <w:t xml:space="preserve">  </w:t>
      </w:r>
      <w:r>
        <w:rPr>
          <w:rFonts w:hint="eastAsia"/>
          <w:bCs/>
          <w:szCs w:val="21"/>
        </w:rPr>
        <w:t>通风柜整体防腐，无级调速，噪声在55分贝以下，铺设明管、避免开墙。</w:t>
      </w:r>
    </w:p>
    <w:p>
      <w:pPr>
        <w:spacing w:line="460" w:lineRule="exact"/>
        <w:jc w:val="left"/>
        <w:rPr>
          <w:bCs/>
          <w:szCs w:val="21"/>
        </w:rPr>
      </w:pPr>
      <w:r>
        <w:rPr>
          <w:rFonts w:hint="eastAsia" w:ascii="黑体" w:hAnsi="黑体" w:eastAsia="黑体"/>
          <w:b/>
          <w:bCs/>
          <w:szCs w:val="21"/>
        </w:rPr>
        <w:t>6.2.3</w:t>
      </w:r>
      <w:r>
        <w:rPr>
          <w:rFonts w:ascii="黑体" w:hAnsi="黑体" w:eastAsia="黑体"/>
          <w:b/>
          <w:bCs/>
          <w:szCs w:val="21"/>
        </w:rPr>
        <w:t xml:space="preserve">  </w:t>
      </w:r>
      <w:r>
        <w:rPr>
          <w:rFonts w:hint="eastAsia"/>
          <w:bCs/>
          <w:szCs w:val="21"/>
        </w:rPr>
        <w:t>上水管采用无毒、质轻、耐压、耐腐蚀PP-R管，所有水龙头前端装有阀门，方便检修，下水管采用耐酸碱、耐有机溶剂的材质，如PVC管，聚四氟乙烯管等。</w:t>
      </w:r>
    </w:p>
    <w:p>
      <w:pPr>
        <w:spacing w:line="460" w:lineRule="exact"/>
        <w:jc w:val="left"/>
        <w:rPr>
          <w:bCs/>
          <w:szCs w:val="21"/>
        </w:rPr>
      </w:pPr>
      <w:r>
        <w:rPr>
          <w:rFonts w:hint="eastAsia" w:ascii="黑体" w:hAnsi="黑体" w:eastAsia="黑体"/>
          <w:b/>
          <w:bCs/>
          <w:szCs w:val="21"/>
        </w:rPr>
        <w:t>6.2.4</w:t>
      </w:r>
      <w:r>
        <w:rPr>
          <w:rFonts w:ascii="黑体" w:hAnsi="黑体" w:eastAsia="黑体"/>
          <w:b/>
          <w:bCs/>
          <w:szCs w:val="21"/>
        </w:rPr>
        <w:t xml:space="preserve">  </w:t>
      </w:r>
      <w:r>
        <w:rPr>
          <w:rFonts w:hint="eastAsia"/>
          <w:bCs/>
          <w:szCs w:val="21"/>
        </w:rPr>
        <w:t>水槽采用防酸碱PP一体成形水槽，并配有洗瓶器、滴水架。</w:t>
      </w:r>
    </w:p>
    <w:p>
      <w:pPr>
        <w:spacing w:line="460" w:lineRule="exact"/>
        <w:jc w:val="left"/>
        <w:rPr>
          <w:bCs/>
          <w:szCs w:val="21"/>
        </w:rPr>
      </w:pPr>
      <w:r>
        <w:rPr>
          <w:rFonts w:hint="eastAsia" w:ascii="黑体" w:hAnsi="黑体" w:eastAsia="黑体"/>
          <w:b/>
          <w:bCs/>
          <w:szCs w:val="21"/>
        </w:rPr>
        <w:t>6.2.5</w:t>
      </w:r>
      <w:r>
        <w:rPr>
          <w:rFonts w:ascii="黑体" w:hAnsi="黑体" w:eastAsia="黑体"/>
          <w:b/>
          <w:bCs/>
          <w:szCs w:val="21"/>
        </w:rPr>
        <w:t xml:space="preserve">  </w:t>
      </w:r>
      <w:r>
        <w:rPr>
          <w:rFonts w:hint="eastAsia"/>
          <w:bCs/>
          <w:szCs w:val="21"/>
        </w:rPr>
        <w:t>电源插座采用多功能插孔，满足10A和16A两种电流的要求，干燥间应配有220V和380V不同功率的插座。</w:t>
      </w:r>
    </w:p>
    <w:p>
      <w:pPr>
        <w:spacing w:line="460" w:lineRule="exact"/>
        <w:jc w:val="left"/>
        <w:rPr>
          <w:bCs/>
          <w:szCs w:val="21"/>
        </w:rPr>
      </w:pPr>
      <w:r>
        <w:rPr>
          <w:rFonts w:hint="eastAsia" w:ascii="黑体" w:hAnsi="黑体" w:eastAsia="黑体"/>
          <w:b/>
          <w:bCs/>
          <w:szCs w:val="21"/>
        </w:rPr>
        <w:t>6.2.6</w:t>
      </w:r>
      <w:r>
        <w:rPr>
          <w:rFonts w:ascii="黑体" w:hAnsi="黑体" w:eastAsia="黑体"/>
          <w:b/>
          <w:bCs/>
          <w:szCs w:val="21"/>
        </w:rPr>
        <w:t xml:space="preserve">  </w:t>
      </w:r>
      <w:r>
        <w:rPr>
          <w:rFonts w:hint="eastAsia"/>
          <w:bCs/>
          <w:szCs w:val="21"/>
        </w:rPr>
        <w:t>配有紧急冲淋器，急救箱，洗眼器等。</w:t>
      </w:r>
    </w:p>
    <w:p>
      <w:pPr>
        <w:spacing w:line="576" w:lineRule="auto"/>
        <w:rPr>
          <w:rFonts w:ascii="黑体" w:hAnsi="黑体" w:eastAsia="黑体"/>
          <w:b/>
          <w:bCs/>
          <w:szCs w:val="21"/>
        </w:rPr>
      </w:pPr>
      <w:bookmarkStart w:id="19" w:name="_Toc34083588"/>
      <w:r>
        <w:rPr>
          <w:rFonts w:ascii="黑体" w:hAnsi="黑体" w:eastAsia="黑体"/>
          <w:b/>
          <w:bCs/>
          <w:szCs w:val="21"/>
        </w:rPr>
        <w:t>6.3  天平室</w:t>
      </w:r>
      <w:bookmarkEnd w:id="19"/>
    </w:p>
    <w:p>
      <w:pPr>
        <w:spacing w:line="460" w:lineRule="exact"/>
        <w:ind w:firstLine="420" w:firstLineChars="200"/>
        <w:rPr>
          <w:b/>
          <w:bCs/>
          <w:color w:val="FF0000"/>
          <w:szCs w:val="21"/>
        </w:rPr>
      </w:pPr>
      <w:r>
        <w:rPr>
          <w:rFonts w:hint="eastAsia"/>
          <w:bCs/>
          <w:szCs w:val="21"/>
        </w:rPr>
        <w:t>天平室以北向为宜，应远离振源，不宜与高温室和有较强电磁干扰的房间相邻。天平室宜采用双层窗，以利隔热同时为便于读数而设窗帘箱。防振、防尘、防风、防阳光直射、防腐蚀性气体侵蚀以及较恒定的气温，且天平室内不得设置水盆或有任何管道穿过室内，以免管道渗漏、结露或在管道检修时影响天平的使用和维护。天平放置在防震台上。布局可参考图</w:t>
      </w:r>
      <w:r>
        <w:rPr>
          <w:bCs/>
          <w:szCs w:val="21"/>
        </w:rPr>
        <w:t>6</w:t>
      </w:r>
      <w:r>
        <w:rPr>
          <w:rFonts w:hint="eastAsia"/>
          <w:bCs/>
          <w:szCs w:val="21"/>
        </w:rPr>
        <w:t>-</w:t>
      </w:r>
      <w:r>
        <w:rPr>
          <w:bCs/>
          <w:szCs w:val="21"/>
        </w:rPr>
        <w:t>2</w:t>
      </w:r>
      <w:r>
        <w:rPr>
          <w:rFonts w:hint="eastAsia"/>
          <w:bCs/>
          <w:szCs w:val="21"/>
        </w:rPr>
        <w:t>。</w:t>
      </w:r>
    </w:p>
    <w:p>
      <w:pPr>
        <w:spacing w:line="576" w:lineRule="auto"/>
        <w:rPr>
          <w:rFonts w:ascii="黑体" w:hAnsi="黑体" w:eastAsia="黑体"/>
          <w:b/>
          <w:bCs/>
          <w:szCs w:val="21"/>
        </w:rPr>
      </w:pPr>
      <w:bookmarkStart w:id="20" w:name="_Toc34083589"/>
      <w:r>
        <w:rPr>
          <w:rFonts w:ascii="黑体" w:hAnsi="黑体" w:eastAsia="黑体"/>
          <w:b/>
          <w:bCs/>
          <w:szCs w:val="21"/>
        </w:rPr>
        <w:t>6.4  分光室</w:t>
      </w:r>
      <w:bookmarkEnd w:id="20"/>
    </w:p>
    <w:p>
      <w:pPr>
        <w:spacing w:line="460" w:lineRule="exact"/>
        <w:ind w:firstLine="420" w:firstLineChars="200"/>
        <w:rPr>
          <w:bCs/>
          <w:color w:val="000000" w:themeColor="text1"/>
          <w:szCs w:val="21"/>
        </w:rPr>
      </w:pPr>
      <w:r>
        <w:rPr>
          <w:rFonts w:hint="eastAsia"/>
          <w:bCs/>
          <w:szCs w:val="21"/>
        </w:rPr>
        <w:t>分光室应远离振源，不宜和有较强电磁干扰的房间相邻，电源插座采用多功能插孔，满足10A和16A两种功率的要求。布局可参考图</w:t>
      </w:r>
      <w:r>
        <w:rPr>
          <w:bCs/>
          <w:szCs w:val="21"/>
        </w:rPr>
        <w:t>6</w:t>
      </w:r>
      <w:r>
        <w:rPr>
          <w:rFonts w:hint="eastAsia"/>
          <w:bCs/>
          <w:szCs w:val="21"/>
        </w:rPr>
        <w:t>-</w:t>
      </w:r>
      <w:r>
        <w:rPr>
          <w:bCs/>
          <w:szCs w:val="21"/>
        </w:rPr>
        <w:t>1</w:t>
      </w:r>
      <w:r>
        <w:rPr>
          <w:rFonts w:hint="eastAsia"/>
          <w:bCs/>
          <w:color w:val="000000" w:themeColor="text1"/>
          <w:szCs w:val="21"/>
        </w:rPr>
        <w:t>。</w:t>
      </w:r>
    </w:p>
    <w:p>
      <w:pPr>
        <w:spacing w:line="576" w:lineRule="auto"/>
        <w:rPr>
          <w:rFonts w:ascii="黑体" w:hAnsi="黑体" w:eastAsia="黑体"/>
          <w:b/>
          <w:bCs/>
          <w:szCs w:val="21"/>
        </w:rPr>
      </w:pPr>
      <w:bookmarkStart w:id="21" w:name="_Toc34083590"/>
      <w:r>
        <w:rPr>
          <w:rFonts w:ascii="黑体" w:hAnsi="黑体" w:eastAsia="黑体"/>
          <w:b/>
          <w:bCs/>
          <w:szCs w:val="21"/>
        </w:rPr>
        <w:t>6.5   理化分析室</w:t>
      </w:r>
      <w:bookmarkEnd w:id="21"/>
    </w:p>
    <w:p>
      <w:pPr>
        <w:spacing w:line="460" w:lineRule="exact"/>
        <w:ind w:firstLine="420" w:firstLineChars="200"/>
        <w:rPr>
          <w:bCs/>
          <w:szCs w:val="21"/>
        </w:rPr>
      </w:pPr>
      <w:r>
        <w:rPr>
          <w:rFonts w:hint="eastAsia"/>
          <w:bCs/>
          <w:szCs w:val="21"/>
        </w:rPr>
        <w:t>理化分析室应远离振源，不宜和有较强电磁干扰的房间相邻，房内通风性好，设置水槽水台、实验台、通风柜等设备，房间内预留220V、380V电压的插座，满足10A和16A电流要求。布局可参考图</w:t>
      </w:r>
      <w:r>
        <w:rPr>
          <w:bCs/>
          <w:szCs w:val="21"/>
        </w:rPr>
        <w:t>6</w:t>
      </w:r>
      <w:r>
        <w:rPr>
          <w:rFonts w:hint="eastAsia"/>
          <w:bCs/>
          <w:szCs w:val="21"/>
        </w:rPr>
        <w:t>-</w:t>
      </w:r>
      <w:r>
        <w:rPr>
          <w:bCs/>
          <w:szCs w:val="21"/>
        </w:rPr>
        <w:t>7</w:t>
      </w:r>
      <w:r>
        <w:rPr>
          <w:rFonts w:hint="eastAsia"/>
          <w:bCs/>
          <w:szCs w:val="21"/>
        </w:rPr>
        <w:t>。</w:t>
      </w:r>
    </w:p>
    <w:p>
      <w:pPr>
        <w:spacing w:line="576" w:lineRule="auto"/>
        <w:rPr>
          <w:rFonts w:ascii="黑体" w:hAnsi="黑体" w:eastAsia="黑体"/>
          <w:b/>
          <w:bCs/>
          <w:szCs w:val="21"/>
        </w:rPr>
      </w:pPr>
      <w:bookmarkStart w:id="22" w:name="_Toc34083591"/>
      <w:r>
        <w:rPr>
          <w:rFonts w:ascii="黑体" w:hAnsi="黑体" w:eastAsia="黑体"/>
          <w:b/>
          <w:bCs/>
          <w:szCs w:val="21"/>
        </w:rPr>
        <w:t>6.6  干燥间</w:t>
      </w:r>
      <w:bookmarkEnd w:id="22"/>
    </w:p>
    <w:p>
      <w:pPr>
        <w:spacing w:line="460" w:lineRule="exact"/>
        <w:ind w:firstLine="420" w:firstLineChars="200"/>
        <w:rPr>
          <w:bCs/>
          <w:szCs w:val="21"/>
        </w:rPr>
      </w:pPr>
      <w:r>
        <w:rPr>
          <w:rFonts w:hint="eastAsia"/>
          <w:bCs/>
          <w:szCs w:val="21"/>
        </w:rPr>
        <w:t>干燥间要求设有窗户，确保良好通风，要求墙体、台面采用防火材质。房内预留220V、380V电压的插座，满足10A和16A电流要求。布局参考图6-</w:t>
      </w:r>
      <w:r>
        <w:rPr>
          <w:bCs/>
          <w:szCs w:val="21"/>
        </w:rPr>
        <w:t>6</w:t>
      </w:r>
      <w:r>
        <w:rPr>
          <w:rFonts w:hint="eastAsia"/>
          <w:bCs/>
          <w:color w:val="000000" w:themeColor="text1"/>
          <w:szCs w:val="21"/>
        </w:rPr>
        <w:t>。</w:t>
      </w:r>
    </w:p>
    <w:p>
      <w:pPr>
        <w:spacing w:line="576" w:lineRule="auto"/>
        <w:rPr>
          <w:rFonts w:ascii="黑体" w:hAnsi="黑体" w:eastAsia="黑体"/>
          <w:b/>
          <w:bCs/>
          <w:szCs w:val="21"/>
        </w:rPr>
      </w:pPr>
      <w:bookmarkStart w:id="23" w:name="_Toc34083592"/>
      <w:r>
        <w:rPr>
          <w:rFonts w:ascii="黑体" w:hAnsi="黑体" w:eastAsia="黑体"/>
          <w:b/>
          <w:bCs/>
          <w:szCs w:val="21"/>
        </w:rPr>
        <w:t>6.7  样品储存间</w:t>
      </w:r>
      <w:bookmarkEnd w:id="23"/>
    </w:p>
    <w:p>
      <w:pPr>
        <w:spacing w:line="460" w:lineRule="exact"/>
        <w:ind w:firstLine="420" w:firstLineChars="200"/>
        <w:rPr>
          <w:bCs/>
          <w:szCs w:val="21"/>
        </w:rPr>
      </w:pPr>
      <w:r>
        <w:rPr>
          <w:rFonts w:hint="eastAsia"/>
          <w:bCs/>
          <w:szCs w:val="21"/>
        </w:rPr>
        <w:t>样品储存间设有窗户，通风良好，有冷藏柜和置物架，用于存放未检样品和留存样品。布局可参考6-</w:t>
      </w:r>
      <w:r>
        <w:rPr>
          <w:bCs/>
          <w:szCs w:val="21"/>
        </w:rPr>
        <w:t>3</w:t>
      </w:r>
      <w:r>
        <w:rPr>
          <w:rFonts w:hint="eastAsia"/>
          <w:bCs/>
          <w:szCs w:val="21"/>
        </w:rPr>
        <w:t>。</w:t>
      </w:r>
    </w:p>
    <w:p>
      <w:pPr>
        <w:spacing w:line="576" w:lineRule="auto"/>
        <w:rPr>
          <w:rFonts w:ascii="黑体" w:hAnsi="黑体" w:eastAsia="黑体"/>
          <w:b/>
          <w:bCs/>
          <w:szCs w:val="21"/>
        </w:rPr>
      </w:pPr>
      <w:bookmarkStart w:id="24" w:name="_Toc34083593"/>
      <w:r>
        <w:rPr>
          <w:rFonts w:ascii="黑体" w:hAnsi="黑体" w:eastAsia="黑体"/>
          <w:b/>
          <w:bCs/>
          <w:szCs w:val="21"/>
        </w:rPr>
        <w:t>6.8  试剂及耗材储存间</w:t>
      </w:r>
      <w:bookmarkEnd w:id="24"/>
    </w:p>
    <w:p>
      <w:pPr>
        <w:spacing w:line="460" w:lineRule="exact"/>
        <w:rPr>
          <w:bCs/>
          <w:szCs w:val="21"/>
        </w:rPr>
      </w:pPr>
      <w:r>
        <w:rPr>
          <w:rFonts w:ascii="黑体" w:hAnsi="黑体" w:eastAsia="黑体"/>
          <w:b/>
          <w:szCs w:val="21"/>
        </w:rPr>
        <w:t xml:space="preserve">6.8.1  </w:t>
      </w:r>
      <w:r>
        <w:rPr>
          <w:rFonts w:hint="eastAsia"/>
          <w:bCs/>
          <w:szCs w:val="21"/>
        </w:rPr>
        <w:t>试剂及耗材储存间布局要求</w:t>
      </w:r>
    </w:p>
    <w:p>
      <w:pPr>
        <w:spacing w:line="460" w:lineRule="exact"/>
        <w:ind w:firstLine="420" w:firstLineChars="200"/>
        <w:rPr>
          <w:bCs/>
          <w:color w:val="000000" w:themeColor="text1"/>
          <w:szCs w:val="21"/>
        </w:rPr>
      </w:pPr>
      <w:r>
        <w:rPr>
          <w:rFonts w:hint="eastAsia"/>
          <w:bCs/>
          <w:szCs w:val="21"/>
        </w:rPr>
        <w:t>试剂及耗材储存间，根据常规、易燃易爆、有毒试剂三大类药品分类存放，安排特定的储存柜分类加以储存。房间装有换风系统（排风扇），净化房间空气，以防人员伤害，有需要时配置冷藏柜和置物架，</w:t>
      </w:r>
      <w:r>
        <w:rPr>
          <w:rFonts w:hint="eastAsia"/>
          <w:bCs/>
          <w:color w:val="000000" w:themeColor="text1"/>
          <w:szCs w:val="21"/>
        </w:rPr>
        <w:t>易制毒易制爆试剂和有毒试剂需配备双锁双人管理。危化品仓库具体布局要求要符合当地公安的要求。布局可参考图</w:t>
      </w:r>
      <w:r>
        <w:rPr>
          <w:bCs/>
          <w:color w:val="000000" w:themeColor="text1"/>
          <w:szCs w:val="21"/>
        </w:rPr>
        <w:t>6</w:t>
      </w:r>
      <w:r>
        <w:rPr>
          <w:rFonts w:hint="eastAsia"/>
          <w:bCs/>
          <w:color w:val="000000" w:themeColor="text1"/>
          <w:szCs w:val="21"/>
        </w:rPr>
        <w:t>-</w:t>
      </w:r>
      <w:r>
        <w:rPr>
          <w:bCs/>
          <w:color w:val="000000" w:themeColor="text1"/>
          <w:szCs w:val="21"/>
        </w:rPr>
        <w:t>4</w:t>
      </w:r>
      <w:r>
        <w:rPr>
          <w:rFonts w:hint="eastAsia"/>
          <w:bCs/>
          <w:color w:val="000000" w:themeColor="text1"/>
          <w:szCs w:val="21"/>
        </w:rPr>
        <w:t>。</w:t>
      </w:r>
    </w:p>
    <w:p>
      <w:pPr>
        <w:spacing w:line="460" w:lineRule="exact"/>
        <w:rPr>
          <w:bCs/>
          <w:szCs w:val="21"/>
        </w:rPr>
      </w:pPr>
      <w:r>
        <w:rPr>
          <w:rFonts w:ascii="黑体" w:hAnsi="黑体" w:eastAsia="黑体"/>
          <w:b/>
          <w:szCs w:val="21"/>
        </w:rPr>
        <w:t xml:space="preserve">6.8.2  </w:t>
      </w:r>
      <w:r>
        <w:rPr>
          <w:rFonts w:hint="eastAsia"/>
          <w:bCs/>
          <w:szCs w:val="21"/>
        </w:rPr>
        <w:t>化学试剂放置要求</w:t>
      </w:r>
    </w:p>
    <w:p>
      <w:pPr>
        <w:spacing w:line="460" w:lineRule="exact"/>
        <w:ind w:firstLine="420" w:firstLineChars="200"/>
        <w:rPr>
          <w:bCs/>
          <w:szCs w:val="21"/>
        </w:rPr>
      </w:pPr>
      <w:r>
        <w:rPr>
          <w:rFonts w:hint="eastAsia"/>
          <w:bCs/>
          <w:szCs w:val="21"/>
        </w:rPr>
        <w:t>（1）应对所有试剂加贴标签，标签应清楚标识试剂名称、浓度、溶剂、配制日期、配制人和有效期等必要信息；实验用水的标签应清楚标识制备时间、名称等信息，必要时还应根据不同用途注明相应的级别。</w:t>
      </w:r>
    </w:p>
    <w:p>
      <w:pPr>
        <w:spacing w:line="460" w:lineRule="exact"/>
        <w:ind w:firstLine="420" w:firstLineChars="200"/>
        <w:rPr>
          <w:bCs/>
          <w:szCs w:val="21"/>
        </w:rPr>
      </w:pPr>
      <w:r>
        <w:rPr>
          <w:rFonts w:hint="eastAsia"/>
          <w:bCs/>
          <w:szCs w:val="21"/>
        </w:rPr>
        <w:t>（2）液体试剂不得与固体试剂混放，试剂柜应避免阳光的直射。危险品采购、使用、严格执行有关危险品管理规定。</w:t>
      </w:r>
    </w:p>
    <w:p>
      <w:pPr>
        <w:spacing w:line="460" w:lineRule="exact"/>
        <w:ind w:firstLine="420" w:firstLineChars="200"/>
        <w:rPr>
          <w:bCs/>
          <w:szCs w:val="21"/>
        </w:rPr>
      </w:pPr>
      <w:r>
        <w:rPr>
          <w:rFonts w:hint="eastAsia"/>
          <w:bCs/>
          <w:szCs w:val="21"/>
        </w:rPr>
        <w:t>（3）化学试剂、实验用水、用气均应符合分析方法中规定的质量要求，并按规定的方法配制和贮存。冰箱内不宜贮放易挥发物品。</w:t>
      </w:r>
    </w:p>
    <w:p>
      <w:pPr>
        <w:spacing w:line="576" w:lineRule="auto"/>
        <w:rPr>
          <w:rFonts w:ascii="黑体" w:hAnsi="黑体" w:eastAsia="黑体"/>
          <w:b/>
          <w:bCs/>
          <w:szCs w:val="21"/>
        </w:rPr>
      </w:pPr>
      <w:bookmarkStart w:id="25" w:name="_Toc34083594"/>
      <w:r>
        <w:rPr>
          <w:rFonts w:ascii="黑体" w:hAnsi="黑体" w:eastAsia="黑体"/>
          <w:b/>
          <w:bCs/>
          <w:szCs w:val="21"/>
        </w:rPr>
        <w:t>6.9  微生物室</w:t>
      </w:r>
      <w:bookmarkEnd w:id="25"/>
    </w:p>
    <w:p>
      <w:pPr>
        <w:spacing w:line="324" w:lineRule="auto"/>
        <w:ind w:firstLine="420" w:firstLineChars="200"/>
        <w:rPr>
          <w:bCs/>
          <w:szCs w:val="21"/>
        </w:rPr>
      </w:pPr>
      <w:r>
        <w:rPr>
          <w:rFonts w:hint="eastAsia"/>
          <w:bCs/>
          <w:szCs w:val="21"/>
        </w:rPr>
        <w:t>微生物化验室由准备间、洗涤及灭菌室、缓冲区、无菌室四部分组成。这些房间的共同特点必须是地板和墙壁的质地光滑坚硬，仪器和设备的陈设简洁，便于打扫卫生。</w:t>
      </w:r>
    </w:p>
    <w:p>
      <w:pPr>
        <w:spacing w:line="460" w:lineRule="exact"/>
        <w:rPr>
          <w:rFonts w:ascii="宋体" w:hAnsi="宋体" w:eastAsia="宋体"/>
          <w:szCs w:val="21"/>
        </w:rPr>
      </w:pPr>
      <w:r>
        <w:rPr>
          <w:rFonts w:hint="eastAsia" w:ascii="黑体" w:hAnsi="黑体" w:eastAsia="黑体"/>
          <w:b/>
          <w:szCs w:val="21"/>
        </w:rPr>
        <w:t>6.9.1</w:t>
      </w:r>
      <w:r>
        <w:rPr>
          <w:rFonts w:ascii="黑体" w:hAnsi="黑体" w:eastAsia="黑体"/>
          <w:b/>
          <w:szCs w:val="21"/>
        </w:rPr>
        <w:t xml:space="preserve">  </w:t>
      </w:r>
      <w:r>
        <w:rPr>
          <w:rFonts w:ascii="宋体" w:hAnsi="宋体" w:eastAsia="宋体"/>
          <w:szCs w:val="21"/>
        </w:rPr>
        <w:t>准备</w:t>
      </w:r>
      <w:r>
        <w:rPr>
          <w:rFonts w:hint="eastAsia" w:ascii="宋体" w:hAnsi="宋体" w:eastAsia="宋体"/>
          <w:szCs w:val="21"/>
        </w:rPr>
        <w:t>间</w:t>
      </w:r>
    </w:p>
    <w:p>
      <w:pPr>
        <w:spacing w:line="460" w:lineRule="exact"/>
        <w:ind w:firstLine="420" w:firstLineChars="200"/>
        <w:rPr>
          <w:bCs/>
          <w:szCs w:val="21"/>
        </w:rPr>
      </w:pPr>
      <w:r>
        <w:rPr>
          <w:bCs/>
          <w:szCs w:val="21"/>
        </w:rPr>
        <w:t>准备</w:t>
      </w:r>
      <w:r>
        <w:rPr>
          <w:rFonts w:hint="eastAsia"/>
          <w:bCs/>
          <w:szCs w:val="21"/>
        </w:rPr>
        <w:t>间</w:t>
      </w:r>
      <w:r>
        <w:rPr>
          <w:bCs/>
          <w:szCs w:val="21"/>
        </w:rPr>
        <w:t>用于配制培养基和样品处理等。室内设有试剂柜、存放器具或</w:t>
      </w:r>
      <w:r>
        <w:rPr>
          <w:rFonts w:hint="eastAsia"/>
          <w:bCs/>
          <w:szCs w:val="21"/>
        </w:rPr>
        <w:t>耗</w:t>
      </w:r>
      <w:r>
        <w:rPr>
          <w:bCs/>
          <w:szCs w:val="21"/>
        </w:rPr>
        <w:t>材的专柜、实验台、电炉、冰箱和上下水道、电源等。</w:t>
      </w:r>
    </w:p>
    <w:p>
      <w:pPr>
        <w:spacing w:line="460" w:lineRule="exact"/>
        <w:rPr>
          <w:rFonts w:ascii="宋体" w:hAnsi="宋体" w:eastAsia="宋体"/>
          <w:szCs w:val="21"/>
        </w:rPr>
      </w:pPr>
      <w:r>
        <w:rPr>
          <w:rFonts w:hint="eastAsia" w:ascii="黑体" w:hAnsi="黑体" w:eastAsia="黑体"/>
          <w:b/>
          <w:szCs w:val="21"/>
        </w:rPr>
        <w:t>6.9.2</w:t>
      </w:r>
      <w:r>
        <w:rPr>
          <w:rFonts w:ascii="黑体" w:hAnsi="黑体" w:eastAsia="黑体"/>
          <w:b/>
          <w:szCs w:val="21"/>
        </w:rPr>
        <w:t xml:space="preserve">  </w:t>
      </w:r>
      <w:r>
        <w:rPr>
          <w:rFonts w:ascii="宋体" w:hAnsi="宋体" w:eastAsia="宋体"/>
          <w:szCs w:val="21"/>
        </w:rPr>
        <w:t>洗涤</w:t>
      </w:r>
      <w:r>
        <w:rPr>
          <w:rFonts w:hint="eastAsia" w:ascii="宋体" w:hAnsi="宋体" w:eastAsia="宋体"/>
          <w:szCs w:val="21"/>
        </w:rPr>
        <w:t>及</w:t>
      </w:r>
      <w:r>
        <w:rPr>
          <w:rFonts w:ascii="宋体" w:hAnsi="宋体" w:eastAsia="宋体"/>
          <w:szCs w:val="21"/>
        </w:rPr>
        <w:t>灭菌</w:t>
      </w:r>
      <w:r>
        <w:rPr>
          <w:rFonts w:hint="eastAsia" w:ascii="宋体" w:hAnsi="宋体" w:eastAsia="宋体"/>
          <w:szCs w:val="21"/>
        </w:rPr>
        <w:t>室</w:t>
      </w:r>
    </w:p>
    <w:p>
      <w:pPr>
        <w:spacing w:line="460" w:lineRule="exact"/>
        <w:ind w:firstLine="420" w:firstLineChars="200"/>
        <w:rPr>
          <w:bCs/>
          <w:szCs w:val="21"/>
        </w:rPr>
      </w:pPr>
      <w:r>
        <w:rPr>
          <w:bCs/>
          <w:szCs w:val="21"/>
        </w:rPr>
        <w:t>洗涤</w:t>
      </w:r>
      <w:r>
        <w:rPr>
          <w:rFonts w:hint="eastAsia"/>
          <w:bCs/>
          <w:szCs w:val="21"/>
        </w:rPr>
        <w:t>及</w:t>
      </w:r>
      <w:r>
        <w:rPr>
          <w:bCs/>
          <w:szCs w:val="21"/>
        </w:rPr>
        <w:t>灭菌</w:t>
      </w:r>
      <w:r>
        <w:rPr>
          <w:rFonts w:hint="eastAsia"/>
          <w:bCs/>
          <w:szCs w:val="21"/>
        </w:rPr>
        <w:t>室</w:t>
      </w:r>
      <w:r>
        <w:rPr>
          <w:bCs/>
          <w:szCs w:val="21"/>
        </w:rPr>
        <w:t>用于洗刷器皿等</w:t>
      </w:r>
      <w:r>
        <w:rPr>
          <w:rFonts w:hint="eastAsia"/>
          <w:bCs/>
          <w:szCs w:val="21"/>
        </w:rPr>
        <w:t>，应</w:t>
      </w:r>
      <w:r>
        <w:rPr>
          <w:bCs/>
          <w:szCs w:val="21"/>
        </w:rPr>
        <w:t>设置洗涤灭菌</w:t>
      </w:r>
      <w:r>
        <w:rPr>
          <w:rFonts w:hint="eastAsia"/>
          <w:bCs/>
          <w:szCs w:val="21"/>
        </w:rPr>
        <w:t>室</w:t>
      </w:r>
      <w:r>
        <w:rPr>
          <w:bCs/>
          <w:szCs w:val="21"/>
        </w:rPr>
        <w:t>。室内应备</w:t>
      </w:r>
      <w:r>
        <w:rPr>
          <w:rFonts w:hint="eastAsia"/>
          <w:bCs/>
          <w:szCs w:val="21"/>
        </w:rPr>
        <w:t>有</w:t>
      </w:r>
      <w:r>
        <w:rPr>
          <w:bCs/>
          <w:szCs w:val="21"/>
        </w:rPr>
        <w:t>洗刷器皿用的盆、桶等，还应有各种瓶刷、</w:t>
      </w:r>
      <w:r>
        <w:rPr>
          <w:rFonts w:hint="eastAsia"/>
          <w:bCs/>
          <w:szCs w:val="21"/>
        </w:rPr>
        <w:t>消毒液、</w:t>
      </w:r>
      <w:r>
        <w:rPr>
          <w:bCs/>
          <w:szCs w:val="21"/>
        </w:rPr>
        <w:t>去污粉、肥皂、洗衣粉等。灭菌</w:t>
      </w:r>
      <w:r>
        <w:rPr>
          <w:rFonts w:hint="eastAsia"/>
          <w:bCs/>
          <w:szCs w:val="21"/>
        </w:rPr>
        <w:t>室</w:t>
      </w:r>
      <w:r>
        <w:rPr>
          <w:bCs/>
          <w:szCs w:val="21"/>
        </w:rPr>
        <w:t>主要用于培养基的灭菌和各种</w:t>
      </w:r>
      <w:r>
        <w:rPr>
          <w:rFonts w:hint="eastAsia"/>
          <w:bCs/>
          <w:szCs w:val="21"/>
        </w:rPr>
        <w:t>实验用</w:t>
      </w:r>
      <w:r>
        <w:rPr>
          <w:bCs/>
          <w:szCs w:val="21"/>
        </w:rPr>
        <w:t>器具的灭菌，室内应备有高压蒸汽灭菌器、烘箱等灭菌设备及设施。</w:t>
      </w:r>
    </w:p>
    <w:p>
      <w:pPr>
        <w:spacing w:line="460" w:lineRule="exact"/>
        <w:rPr>
          <w:rFonts w:ascii="宋体" w:hAnsi="宋体" w:eastAsia="宋体"/>
          <w:szCs w:val="21"/>
        </w:rPr>
      </w:pPr>
      <w:bookmarkStart w:id="26" w:name="_Toc11791_WPSOffice_Level3"/>
      <w:r>
        <w:rPr>
          <w:rFonts w:hint="eastAsia" w:ascii="黑体" w:hAnsi="黑体" w:eastAsia="黑体"/>
          <w:b/>
          <w:szCs w:val="21"/>
        </w:rPr>
        <w:t>6.9.4</w:t>
      </w:r>
      <w:r>
        <w:rPr>
          <w:rFonts w:ascii="黑体" w:hAnsi="黑体" w:eastAsia="黑体"/>
          <w:b/>
          <w:szCs w:val="21"/>
        </w:rPr>
        <w:t xml:space="preserve">  </w:t>
      </w:r>
      <w:r>
        <w:rPr>
          <w:rFonts w:ascii="宋体" w:hAnsi="宋体" w:eastAsia="宋体"/>
          <w:szCs w:val="21"/>
        </w:rPr>
        <w:t>无菌</w:t>
      </w:r>
      <w:bookmarkEnd w:id="26"/>
      <w:r>
        <w:rPr>
          <w:rFonts w:hint="eastAsia" w:ascii="宋体" w:hAnsi="宋体" w:eastAsia="宋体"/>
          <w:szCs w:val="21"/>
        </w:rPr>
        <w:t>室</w:t>
      </w:r>
    </w:p>
    <w:p>
      <w:pPr>
        <w:spacing w:line="460" w:lineRule="exact"/>
        <w:ind w:firstLine="420" w:firstLineChars="200"/>
        <w:rPr>
          <w:bCs/>
          <w:szCs w:val="21"/>
        </w:rPr>
      </w:pPr>
      <w:r>
        <w:rPr>
          <w:bCs/>
          <w:szCs w:val="21"/>
        </w:rPr>
        <w:t>无菌</w:t>
      </w:r>
      <w:r>
        <w:rPr>
          <w:rFonts w:hint="eastAsia"/>
          <w:bCs/>
          <w:szCs w:val="21"/>
        </w:rPr>
        <w:t>室</w:t>
      </w:r>
      <w:r>
        <w:rPr>
          <w:bCs/>
          <w:szCs w:val="21"/>
        </w:rPr>
        <w:t>一般为独立小房间(与外间隔离)，</w:t>
      </w:r>
      <w:r>
        <w:rPr>
          <w:rFonts w:hint="eastAsia"/>
          <w:bCs/>
          <w:szCs w:val="21"/>
        </w:rPr>
        <w:t>进入无菌室前设置有缓冲区。</w:t>
      </w:r>
    </w:p>
    <w:p>
      <w:pPr>
        <w:spacing w:line="460" w:lineRule="exact"/>
        <w:ind w:firstLine="420" w:firstLineChars="200"/>
        <w:rPr>
          <w:bCs/>
          <w:szCs w:val="21"/>
        </w:rPr>
      </w:pPr>
      <w:r>
        <w:rPr>
          <w:bCs/>
          <w:szCs w:val="21"/>
        </w:rPr>
        <w:t>无菌</w:t>
      </w:r>
      <w:r>
        <w:rPr>
          <w:rFonts w:hint="eastAsia"/>
          <w:bCs/>
          <w:szCs w:val="21"/>
        </w:rPr>
        <w:t>室</w:t>
      </w:r>
      <w:r>
        <w:rPr>
          <w:bCs/>
          <w:szCs w:val="21"/>
        </w:rPr>
        <w:t>也称接种</w:t>
      </w:r>
      <w:r>
        <w:rPr>
          <w:rFonts w:hint="eastAsia"/>
          <w:bCs/>
          <w:szCs w:val="21"/>
        </w:rPr>
        <w:t>室</w:t>
      </w:r>
      <w:r>
        <w:rPr>
          <w:bCs/>
          <w:szCs w:val="21"/>
        </w:rPr>
        <w:t>，是系统接种、纯化菌种等无菌操作的专用化验室。在微生物工作中，菌种的接种移植是一项主要操作，这项操作的特点就是要保证菌种纯种，防止杂菌的污染。在一般环境的空气中，由于存在许多尘埃和杂菌，很易造成污染，对接种工作干扰很大。</w:t>
      </w:r>
    </w:p>
    <w:p>
      <w:pPr>
        <w:spacing w:line="460" w:lineRule="exact"/>
        <w:ind w:firstLine="420" w:firstLineChars="200"/>
        <w:rPr>
          <w:bCs/>
          <w:szCs w:val="21"/>
        </w:rPr>
      </w:pPr>
      <w:r>
        <w:rPr>
          <w:bCs/>
          <w:szCs w:val="21"/>
        </w:rPr>
        <w:t>无菌</w:t>
      </w:r>
      <w:r>
        <w:rPr>
          <w:rFonts w:hint="eastAsia"/>
          <w:bCs/>
          <w:szCs w:val="21"/>
        </w:rPr>
        <w:t>室</w:t>
      </w:r>
      <w:r>
        <w:rPr>
          <w:bCs/>
          <w:szCs w:val="21"/>
        </w:rPr>
        <w:t>应根据既经济又科学的原则来设置。其基本要求有以下几点：</w:t>
      </w:r>
    </w:p>
    <w:p>
      <w:pPr>
        <w:spacing w:line="460" w:lineRule="exact"/>
        <w:ind w:firstLine="420" w:firstLineChars="200"/>
        <w:rPr>
          <w:bCs/>
          <w:szCs w:val="21"/>
        </w:rPr>
      </w:pPr>
      <w:r>
        <w:rPr>
          <w:bCs/>
          <w:szCs w:val="21"/>
        </w:rPr>
        <w:t>（</w:t>
      </w:r>
      <w:r>
        <w:rPr>
          <w:rFonts w:hint="eastAsia"/>
          <w:bCs/>
          <w:szCs w:val="21"/>
        </w:rPr>
        <w:t>a</w:t>
      </w:r>
      <w:r>
        <w:rPr>
          <w:bCs/>
          <w:szCs w:val="21"/>
        </w:rPr>
        <w:t>）</w:t>
      </w:r>
      <w:r>
        <w:rPr>
          <w:rFonts w:hint="eastAsia"/>
          <w:bCs/>
          <w:szCs w:val="21"/>
        </w:rPr>
        <w:t>无菌室</w:t>
      </w:r>
      <w:r>
        <w:rPr>
          <w:bCs/>
          <w:szCs w:val="21"/>
        </w:rPr>
        <w:t>内应当设拉门，以减少空气的波动，门应设在离工作台最远的位置上；外间的门最好也用拉门，要设在距内间最远的位置上。</w:t>
      </w:r>
    </w:p>
    <w:p>
      <w:pPr>
        <w:spacing w:line="460" w:lineRule="exact"/>
        <w:ind w:firstLine="420" w:firstLineChars="200"/>
        <w:rPr>
          <w:bCs/>
          <w:szCs w:val="21"/>
        </w:rPr>
      </w:pPr>
      <w:r>
        <w:rPr>
          <w:bCs/>
          <w:szCs w:val="21"/>
        </w:rPr>
        <w:t>（</w:t>
      </w:r>
      <w:r>
        <w:rPr>
          <w:rFonts w:hint="eastAsia"/>
          <w:bCs/>
          <w:szCs w:val="21"/>
        </w:rPr>
        <w:t>b</w:t>
      </w:r>
      <w:r>
        <w:rPr>
          <w:bCs/>
          <w:szCs w:val="21"/>
        </w:rPr>
        <w:t>）在分隔内间与外间的墙壁或“隔扇”上，应开一个小窗，作接种过程中必要的内外传递物品的通道，以减少人员进出内间的次数，降低污染程度。小窗宽</w:t>
      </w:r>
      <w:r>
        <w:rPr>
          <w:rFonts w:hint="eastAsia"/>
          <w:bCs/>
          <w:szCs w:val="21"/>
        </w:rPr>
        <w:t>0.</w:t>
      </w:r>
      <w:r>
        <w:rPr>
          <w:bCs/>
          <w:szCs w:val="21"/>
        </w:rPr>
        <w:t>60m、高</w:t>
      </w:r>
      <w:r>
        <w:rPr>
          <w:rFonts w:hint="eastAsia"/>
          <w:bCs/>
          <w:szCs w:val="21"/>
        </w:rPr>
        <w:t>0.</w:t>
      </w:r>
      <w:r>
        <w:rPr>
          <w:bCs/>
          <w:szCs w:val="21"/>
        </w:rPr>
        <w:t>40m、厚</w:t>
      </w:r>
      <w:r>
        <w:rPr>
          <w:rFonts w:hint="eastAsia"/>
          <w:bCs/>
          <w:szCs w:val="21"/>
        </w:rPr>
        <w:t>0.</w:t>
      </w:r>
      <w:r>
        <w:rPr>
          <w:bCs/>
          <w:szCs w:val="21"/>
        </w:rPr>
        <w:t>30m，内外都挂对拉的窗扇。</w:t>
      </w:r>
    </w:p>
    <w:p>
      <w:pPr>
        <w:spacing w:line="460" w:lineRule="exact"/>
        <w:ind w:firstLine="420" w:firstLineChars="200"/>
        <w:rPr>
          <w:bCs/>
          <w:szCs w:val="21"/>
        </w:rPr>
      </w:pPr>
      <w:r>
        <w:rPr>
          <w:bCs/>
          <w:szCs w:val="21"/>
        </w:rPr>
        <w:t>（</w:t>
      </w:r>
      <w:r>
        <w:rPr>
          <w:rFonts w:hint="eastAsia"/>
          <w:bCs/>
          <w:szCs w:val="21"/>
        </w:rPr>
        <w:t>c</w:t>
      </w:r>
      <w:r>
        <w:rPr>
          <w:bCs/>
          <w:szCs w:val="21"/>
        </w:rPr>
        <w:t>）无菌</w:t>
      </w:r>
      <w:r>
        <w:rPr>
          <w:rFonts w:hint="eastAsia"/>
          <w:bCs/>
          <w:szCs w:val="21"/>
        </w:rPr>
        <w:t>室</w:t>
      </w:r>
      <w:r>
        <w:rPr>
          <w:bCs/>
          <w:szCs w:val="21"/>
        </w:rPr>
        <w:t>容积小而严密，使用一段时间后，室内温度很高，故应设置通气窗。通气窗应设在内室进门处的顶棚上（即离工作台最远的位置），最好为双层结构，外层为百叶窗，内层可用抽板式窗扇。通气窗可在内室使用后、灭菌前开启，以流通空气。有条件可安装恒温恒湿机。</w:t>
      </w:r>
      <w:r>
        <w:rPr>
          <w:rFonts w:hint="eastAsia"/>
          <w:bCs/>
          <w:szCs w:val="21"/>
        </w:rPr>
        <w:t>布局可参考图</w:t>
      </w:r>
      <w:r>
        <w:rPr>
          <w:bCs/>
          <w:szCs w:val="21"/>
        </w:rPr>
        <w:t>5</w:t>
      </w:r>
      <w:r>
        <w:rPr>
          <w:rFonts w:hint="eastAsia"/>
          <w:bCs/>
          <w:szCs w:val="21"/>
        </w:rPr>
        <w:t>-</w:t>
      </w:r>
      <w:r>
        <w:rPr>
          <w:bCs/>
          <w:szCs w:val="21"/>
        </w:rPr>
        <w:t>1</w:t>
      </w:r>
      <w:r>
        <w:rPr>
          <w:rFonts w:hint="eastAsia"/>
          <w:bCs/>
          <w:szCs w:val="21"/>
        </w:rPr>
        <w:t>。</w:t>
      </w:r>
    </w:p>
    <w:p>
      <w:pPr>
        <w:spacing w:line="576" w:lineRule="auto"/>
        <w:rPr>
          <w:rFonts w:ascii="黑体" w:hAnsi="黑体" w:eastAsia="黑体"/>
          <w:b/>
          <w:bCs/>
          <w:szCs w:val="21"/>
        </w:rPr>
      </w:pPr>
      <w:bookmarkStart w:id="27" w:name="_Toc34083595"/>
      <w:r>
        <w:rPr>
          <w:rFonts w:ascii="黑体" w:hAnsi="黑体" w:eastAsia="黑体"/>
          <w:b/>
          <w:bCs/>
          <w:szCs w:val="21"/>
        </w:rPr>
        <w:t>6.10  红外测油仪室</w:t>
      </w:r>
      <w:bookmarkEnd w:id="27"/>
    </w:p>
    <w:p>
      <w:pPr>
        <w:spacing w:line="460" w:lineRule="exact"/>
        <w:ind w:firstLine="420" w:firstLineChars="200"/>
        <w:rPr>
          <w:bCs/>
          <w:szCs w:val="21"/>
        </w:rPr>
      </w:pPr>
      <w:r>
        <w:rPr>
          <w:rFonts w:hint="eastAsia"/>
          <w:bCs/>
          <w:szCs w:val="21"/>
        </w:rPr>
        <w:t>红外测油仪室一般要求在12m</w:t>
      </w:r>
      <w:r>
        <w:rPr>
          <w:bCs/>
          <w:szCs w:val="21"/>
        </w:rPr>
        <w:t>²</w:t>
      </w:r>
      <w:r>
        <w:rPr>
          <w:rFonts w:hint="eastAsia"/>
          <w:bCs/>
          <w:szCs w:val="21"/>
        </w:rPr>
        <w:t>左右， 分隔成二小间，一间为前处理间，另一间为红外比色间。前处理间应配有水槽水台、实验台等，二房间分别设有一个通风柜，配置220V和380V电压，满足10A和16A两种电流的要求。布局可参考图6-</w:t>
      </w:r>
      <w:r>
        <w:rPr>
          <w:bCs/>
          <w:szCs w:val="21"/>
        </w:rPr>
        <w:t>5</w:t>
      </w:r>
      <w:r>
        <w:rPr>
          <w:rFonts w:hint="eastAsia"/>
          <w:bCs/>
          <w:szCs w:val="21"/>
        </w:rPr>
        <w:t>。</w:t>
      </w:r>
    </w:p>
    <w:p>
      <w:pPr>
        <w:spacing w:line="324" w:lineRule="auto"/>
        <w:rPr>
          <w:bCs/>
          <w:szCs w:val="21"/>
        </w:rPr>
      </w:pPr>
      <w:r>
        <w:rPr>
          <w:rFonts w:hint="eastAsia"/>
          <w:bCs/>
          <w:szCs w:val="21"/>
        </w:rPr>
        <w:drawing>
          <wp:inline distT="0" distB="0" distL="0" distR="0">
            <wp:extent cx="2200910" cy="30245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08572" cy="3034704"/>
                    </a:xfrm>
                    <a:prstGeom prst="rect">
                      <a:avLst/>
                    </a:prstGeom>
                  </pic:spPr>
                </pic:pic>
              </a:graphicData>
            </a:graphic>
          </wp:inline>
        </w:drawing>
      </w:r>
      <w:r>
        <w:rPr>
          <w:rFonts w:hint="eastAsia"/>
          <w:bCs/>
          <w:szCs w:val="21"/>
        </w:rPr>
        <w:t xml:space="preserve">      </w:t>
      </w:r>
      <w:r>
        <w:rPr>
          <w:bCs/>
          <w:szCs w:val="21"/>
        </w:rPr>
        <w:drawing>
          <wp:inline distT="0" distB="0" distL="0" distR="0">
            <wp:extent cx="2129790" cy="30137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2983" cy="3046196"/>
                    </a:xfrm>
                    <a:prstGeom prst="rect">
                      <a:avLst/>
                    </a:prstGeom>
                  </pic:spPr>
                </pic:pic>
              </a:graphicData>
            </a:graphic>
          </wp:inline>
        </w:drawing>
      </w:r>
    </w:p>
    <w:p>
      <w:pPr>
        <w:spacing w:line="460" w:lineRule="exact"/>
        <w:rPr>
          <w:bCs/>
          <w:szCs w:val="21"/>
        </w:rPr>
      </w:pPr>
      <w:r>
        <w:rPr>
          <w:rFonts w:hint="eastAsia"/>
          <w:bCs/>
          <w:szCs w:val="21"/>
        </w:rPr>
        <w:t>图6-</w:t>
      </w:r>
      <w:r>
        <w:rPr>
          <w:bCs/>
          <w:szCs w:val="21"/>
        </w:rPr>
        <w:t>1</w:t>
      </w:r>
      <w:r>
        <w:rPr>
          <w:rFonts w:hint="eastAsia"/>
          <w:bCs/>
          <w:szCs w:val="21"/>
        </w:rPr>
        <w:t xml:space="preserve">化验室分光室布局示意图        </w:t>
      </w:r>
      <w:r>
        <w:rPr>
          <w:bCs/>
          <w:szCs w:val="21"/>
        </w:rPr>
        <w:t xml:space="preserve">    </w:t>
      </w:r>
      <w:r>
        <w:rPr>
          <w:rFonts w:hint="eastAsia"/>
          <w:bCs/>
          <w:szCs w:val="21"/>
        </w:rPr>
        <w:t xml:space="preserve">     图6-</w:t>
      </w:r>
      <w:r>
        <w:rPr>
          <w:bCs/>
          <w:szCs w:val="21"/>
        </w:rPr>
        <w:t>2</w:t>
      </w:r>
      <w:r>
        <w:rPr>
          <w:rFonts w:hint="eastAsia"/>
          <w:bCs/>
          <w:szCs w:val="21"/>
        </w:rPr>
        <w:t>化验室天平室布局示意图</w:t>
      </w:r>
    </w:p>
    <w:p>
      <w:pPr>
        <w:spacing w:line="324" w:lineRule="auto"/>
        <w:rPr>
          <w:b/>
          <w:szCs w:val="21"/>
        </w:rPr>
      </w:pPr>
      <w:r>
        <w:rPr>
          <w:rFonts w:hint="eastAsia"/>
          <w:bCs/>
          <w:szCs w:val="21"/>
        </w:rPr>
        <w:t xml:space="preserve">  </w:t>
      </w:r>
      <w:r>
        <w:rPr>
          <w:rFonts w:hint="eastAsia"/>
          <w:bCs/>
          <w:szCs w:val="21"/>
        </w:rPr>
        <w:drawing>
          <wp:inline distT="0" distB="0" distL="0" distR="0">
            <wp:extent cx="2200910" cy="290639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0606" cy="2919161"/>
                    </a:xfrm>
                    <a:prstGeom prst="rect">
                      <a:avLst/>
                    </a:prstGeom>
                  </pic:spPr>
                </pic:pic>
              </a:graphicData>
            </a:graphic>
          </wp:inline>
        </w:drawing>
      </w:r>
      <w:r>
        <w:rPr>
          <w:rFonts w:hint="eastAsia"/>
          <w:bCs/>
          <w:szCs w:val="21"/>
        </w:rPr>
        <w:t xml:space="preserve">       </w:t>
      </w:r>
      <w:r>
        <w:rPr>
          <w:b/>
          <w:szCs w:val="21"/>
        </w:rPr>
        <w:drawing>
          <wp:inline distT="0" distB="0" distL="0" distR="0">
            <wp:extent cx="2040255" cy="28733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1563" cy="2889089"/>
                    </a:xfrm>
                    <a:prstGeom prst="rect">
                      <a:avLst/>
                    </a:prstGeom>
                  </pic:spPr>
                </pic:pic>
              </a:graphicData>
            </a:graphic>
          </wp:inline>
        </w:drawing>
      </w:r>
    </w:p>
    <w:p>
      <w:pPr>
        <w:spacing w:line="460" w:lineRule="exact"/>
        <w:ind w:left="5271" w:hanging="5271" w:hangingChars="2500"/>
        <w:rPr>
          <w:bCs/>
          <w:szCs w:val="21"/>
        </w:rPr>
      </w:pPr>
      <w:r>
        <w:rPr>
          <w:rFonts w:hint="eastAsia"/>
          <w:b/>
          <w:szCs w:val="21"/>
        </w:rPr>
        <w:t xml:space="preserve">  </w:t>
      </w:r>
      <w:r>
        <w:rPr>
          <w:rFonts w:hint="eastAsia"/>
          <w:bCs/>
          <w:szCs w:val="21"/>
        </w:rPr>
        <w:t>图6-</w:t>
      </w:r>
      <w:r>
        <w:rPr>
          <w:bCs/>
          <w:szCs w:val="21"/>
        </w:rPr>
        <w:t>3</w:t>
      </w:r>
      <w:r>
        <w:rPr>
          <w:rFonts w:hint="eastAsia"/>
          <w:bCs/>
          <w:szCs w:val="21"/>
        </w:rPr>
        <w:t xml:space="preserve">化验室样品储存间布局示意图   </w:t>
      </w:r>
      <w:r>
        <w:rPr>
          <w:bCs/>
          <w:szCs w:val="21"/>
        </w:rPr>
        <w:t xml:space="preserve"> </w:t>
      </w:r>
      <w:r>
        <w:rPr>
          <w:rFonts w:hint="eastAsia"/>
          <w:bCs/>
          <w:szCs w:val="21"/>
        </w:rPr>
        <w:t xml:space="preserve">   图6-</w:t>
      </w:r>
      <w:r>
        <w:rPr>
          <w:bCs/>
          <w:szCs w:val="21"/>
        </w:rPr>
        <w:t>4</w:t>
      </w:r>
      <w:r>
        <w:rPr>
          <w:rFonts w:hint="eastAsia"/>
          <w:bCs/>
          <w:szCs w:val="21"/>
        </w:rPr>
        <w:t>化验室试剂及耗材储存间布局示意图</w:t>
      </w:r>
    </w:p>
    <w:p>
      <w:pPr>
        <w:spacing w:line="324" w:lineRule="auto"/>
        <w:ind w:firstLine="211" w:firstLineChars="100"/>
        <w:rPr>
          <w:b/>
          <w:szCs w:val="21"/>
        </w:rPr>
      </w:pPr>
      <w:r>
        <w:rPr>
          <w:rFonts w:hint="eastAsia"/>
          <w:b/>
          <w:szCs w:val="21"/>
        </w:rPr>
        <w:drawing>
          <wp:inline distT="0" distB="0" distL="0" distR="0">
            <wp:extent cx="2297430" cy="3172460"/>
            <wp:effectExtent l="0" t="0" r="762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8209" cy="3172914"/>
                    </a:xfrm>
                    <a:prstGeom prst="rect">
                      <a:avLst/>
                    </a:prstGeom>
                  </pic:spPr>
                </pic:pic>
              </a:graphicData>
            </a:graphic>
          </wp:inline>
        </w:drawing>
      </w:r>
      <w:r>
        <w:rPr>
          <w:rFonts w:hint="eastAsia"/>
          <w:b/>
          <w:szCs w:val="21"/>
        </w:rPr>
        <w:t xml:space="preserve">       </w:t>
      </w:r>
      <w:r>
        <w:rPr>
          <w:b/>
          <w:szCs w:val="21"/>
        </w:rPr>
        <w:drawing>
          <wp:inline distT="0" distB="0" distL="0" distR="0">
            <wp:extent cx="2162175" cy="317246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3272" cy="3173330"/>
                    </a:xfrm>
                    <a:prstGeom prst="rect">
                      <a:avLst/>
                    </a:prstGeom>
                  </pic:spPr>
                </pic:pic>
              </a:graphicData>
            </a:graphic>
          </wp:inline>
        </w:drawing>
      </w:r>
    </w:p>
    <w:p>
      <w:pPr>
        <w:spacing w:line="460" w:lineRule="exact"/>
        <w:ind w:firstLine="630" w:firstLineChars="300"/>
        <w:rPr>
          <w:bCs/>
          <w:szCs w:val="21"/>
        </w:rPr>
      </w:pPr>
      <w:r>
        <w:rPr>
          <w:rFonts w:hint="eastAsia"/>
          <w:bCs/>
          <w:szCs w:val="21"/>
        </w:rPr>
        <w:t>图6-</w:t>
      </w:r>
      <w:r>
        <w:rPr>
          <w:bCs/>
          <w:szCs w:val="21"/>
        </w:rPr>
        <w:t>5</w:t>
      </w:r>
      <w:r>
        <w:rPr>
          <w:rFonts w:hint="eastAsia"/>
          <w:bCs/>
          <w:szCs w:val="21"/>
        </w:rPr>
        <w:t>红外测油室布局示意图                图6-</w:t>
      </w:r>
      <w:r>
        <w:rPr>
          <w:bCs/>
          <w:szCs w:val="21"/>
        </w:rPr>
        <w:t>6</w:t>
      </w:r>
      <w:r>
        <w:rPr>
          <w:rFonts w:hint="eastAsia"/>
          <w:bCs/>
          <w:szCs w:val="21"/>
        </w:rPr>
        <w:t>化验室干燥间布局示意图</w:t>
      </w:r>
    </w:p>
    <w:p>
      <w:pPr>
        <w:spacing w:line="460" w:lineRule="exact"/>
        <w:ind w:firstLine="630" w:firstLineChars="300"/>
        <w:rPr>
          <w:bCs/>
          <w:szCs w:val="21"/>
        </w:rPr>
      </w:pPr>
    </w:p>
    <w:p>
      <w:pPr>
        <w:spacing w:line="324" w:lineRule="auto"/>
        <w:jc w:val="center"/>
        <w:rPr>
          <w:bCs/>
          <w:szCs w:val="21"/>
        </w:rPr>
      </w:pPr>
      <w:r>
        <w:rPr>
          <w:bCs/>
          <w:szCs w:val="21"/>
        </w:rPr>
        <w:drawing>
          <wp:inline distT="0" distB="0" distL="0" distR="0">
            <wp:extent cx="4257675" cy="4553585"/>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58270" cy="4553586"/>
                    </a:xfrm>
                    <a:prstGeom prst="rect">
                      <a:avLst/>
                    </a:prstGeom>
                  </pic:spPr>
                </pic:pic>
              </a:graphicData>
            </a:graphic>
          </wp:inline>
        </w:drawing>
      </w:r>
    </w:p>
    <w:p>
      <w:pPr>
        <w:spacing w:line="460" w:lineRule="exact"/>
        <w:jc w:val="center"/>
        <w:rPr>
          <w:bCs/>
          <w:szCs w:val="21"/>
        </w:rPr>
      </w:pPr>
      <w:r>
        <w:rPr>
          <w:rFonts w:hint="eastAsia"/>
          <w:bCs/>
          <w:szCs w:val="21"/>
        </w:rPr>
        <w:t>图6-</w:t>
      </w:r>
      <w:r>
        <w:rPr>
          <w:bCs/>
          <w:szCs w:val="21"/>
        </w:rPr>
        <w:t>7</w:t>
      </w:r>
      <w:r>
        <w:rPr>
          <w:rFonts w:hint="eastAsia"/>
          <w:bCs/>
          <w:szCs w:val="21"/>
        </w:rPr>
        <w:t>理化分析室布局示意图</w:t>
      </w:r>
    </w:p>
    <w:p>
      <w:pPr>
        <w:spacing w:line="576" w:lineRule="auto"/>
        <w:rPr>
          <w:rFonts w:ascii="黑体" w:hAnsi="黑体" w:eastAsia="黑体"/>
          <w:b/>
          <w:bCs/>
          <w:szCs w:val="21"/>
        </w:rPr>
      </w:pPr>
      <w:bookmarkStart w:id="28" w:name="_Toc34083596"/>
      <w:r>
        <w:rPr>
          <w:rFonts w:ascii="黑体" w:hAnsi="黑体" w:eastAsia="黑体"/>
          <w:b/>
          <w:bCs/>
          <w:szCs w:val="21"/>
        </w:rPr>
        <w:t>6.11  办公区域</w:t>
      </w:r>
      <w:bookmarkEnd w:id="28"/>
    </w:p>
    <w:p>
      <w:pPr>
        <w:spacing w:line="460" w:lineRule="exact"/>
        <w:ind w:firstLine="420" w:firstLineChars="200"/>
      </w:pPr>
      <w:r>
        <w:rPr>
          <w:rFonts w:hint="eastAsia"/>
        </w:rPr>
        <w:t>建议办公室面积不低于1</w:t>
      </w:r>
      <w:r>
        <w:t>5</w:t>
      </w:r>
      <w:r>
        <w:rPr>
          <w:rFonts w:hint="eastAsia"/>
        </w:rPr>
        <w:t>m</w:t>
      </w:r>
      <w:r>
        <w:rPr>
          <w:vertAlign w:val="superscript"/>
        </w:rPr>
        <w:t>2</w:t>
      </w:r>
      <w:r>
        <w:rPr>
          <w:rFonts w:hint="eastAsia"/>
        </w:rPr>
        <w:t>，有良好的通风及光线。装设充足的电源插座，供办公设备使用，预留公共位置应对突发事件。配套有办公桌椅，档案柜等基本的办公家具。</w:t>
      </w:r>
    </w:p>
    <w:p>
      <w:pPr>
        <w:spacing w:line="460" w:lineRule="exact"/>
        <w:ind w:firstLine="420" w:firstLineChars="200"/>
      </w:pPr>
      <w:r>
        <w:rPr>
          <w:rFonts w:hint="eastAsia"/>
        </w:rPr>
        <w:t>办公区域必须与化验室区域有隔离。</w:t>
      </w:r>
    </w:p>
    <w:p>
      <w:pPr>
        <w:spacing w:line="460" w:lineRule="exact"/>
        <w:ind w:firstLine="420" w:firstLineChars="200"/>
      </w:pPr>
      <w:r>
        <w:rPr>
          <w:rFonts w:hint="eastAsia"/>
        </w:rPr>
        <w:t>办公室的布置原则：</w:t>
      </w:r>
    </w:p>
    <w:p>
      <w:pPr>
        <w:spacing w:line="460" w:lineRule="exact"/>
        <w:ind w:firstLine="420" w:firstLineChars="200"/>
      </w:pPr>
      <w:r>
        <w:rPr>
          <w:rFonts w:hint="eastAsia"/>
        </w:rPr>
        <w:t>（1）利于员工的工作效率</w:t>
      </w:r>
    </w:p>
    <w:p>
      <w:pPr>
        <w:spacing w:line="460" w:lineRule="exact"/>
        <w:ind w:firstLine="420" w:firstLineChars="200"/>
      </w:pPr>
      <w:r>
        <w:rPr>
          <w:rFonts w:hint="eastAsia"/>
        </w:rPr>
        <w:t>（2）利于沟通</w:t>
      </w:r>
    </w:p>
    <w:p>
      <w:pPr>
        <w:spacing w:line="460" w:lineRule="exact"/>
        <w:ind w:firstLine="420" w:firstLineChars="200"/>
      </w:pPr>
      <w:r>
        <w:rPr>
          <w:rFonts w:hint="eastAsia"/>
        </w:rPr>
        <w:t>（3）方便互相监督</w:t>
      </w:r>
    </w:p>
    <w:p>
      <w:pPr>
        <w:pStyle w:val="38"/>
        <w:spacing w:line="324" w:lineRule="auto"/>
        <w:ind w:left="1140" w:firstLine="0" w:firstLineChars="0"/>
        <w:jc w:val="center"/>
        <w:rPr>
          <w:szCs w:val="21"/>
        </w:rPr>
      </w:pPr>
      <w:bookmarkStart w:id="29" w:name="_Hlk23772285"/>
      <w:bookmarkEnd w:id="29"/>
      <w:r>
        <w:pict>
          <v:group id="Group 45" o:spid="_x0000_s1026" o:spt="203" style="position:absolute;left:0pt;margin-left:55.5pt;margin-top:24.85pt;height:183.8pt;width:295.1pt;z-index:251662336;mso-width-relative:page;mso-height-relative:page;" coordorigin="2901,5476" coordsize="5902,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">
            <o:lock v:ext="edit"/>
            <v:rect id="Rectangle 4" o:spid="_x0000_s1027" o:spt="1" style="position:absolute;left:2901;top:5476;height:3676;width:5902;" fillcolor="#A5A5A5"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">
              <v:path/>
              <v:fill on="f" focussize="0,0"/>
              <v:stroke weight="3pt" color="#F2F2F2"/>
              <v:imagedata o:title=""/>
              <o:lock v:ext="edit"/>
              <v:shadow on="t" color="#525252" opacity="32768f" offset="1pt,2pt"/>
            </v:rect>
            <v:group id="Group 9" o:spid="_x0000_s1028" o:spt="203" style="position:absolute;left:2972;top:5562;height:577;width:3960;" coordorigin="3327,11455" coordsize="318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o:lock v:ext="edit"/>
              <v:rect id="Rectangle 5" o:spid="_x0000_s1029" o:spt="1" style="position:absolute;left:3327;top:11455;height:403;width:797;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">
                <v:path/>
                <v:fill focussize="0,0"/>
                <v:stroke/>
                <v:imagedata o:title=""/>
                <o:lock v:ext="edit"/>
                <v:textbox inset="0mm,0mm,0mm,0mm">
                  <w:txbxContent>
                    <w:p>
                      <w:pPr>
                        <w:jc w:val="center"/>
                        <w:rPr>
                          <w:sz w:val="20"/>
                          <w:szCs w:val="22"/>
                        </w:rPr>
                      </w:pPr>
                      <w:r>
                        <w:rPr>
                          <w:rFonts w:hint="eastAsia"/>
                          <w:sz w:val="20"/>
                          <w:szCs w:val="22"/>
                        </w:rPr>
                        <w:t>档案柜</w:t>
                      </w:r>
                    </w:p>
                  </w:txbxContent>
                </v:textbox>
              </v:rect>
              <v:rect id="Rectangle 6" o:spid="_x0000_s1030" o:spt="1" style="position:absolute;left:4124;top:11455;height:403;width:797;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">
                <v:path/>
                <v:fill focussize="0,0"/>
                <v:stroke/>
                <v:imagedata o:title=""/>
                <o:lock v:ext="edit"/>
                <v:textbox inset="0mm,0mm,0mm,0mm">
                  <w:txbxContent>
                    <w:p>
                      <w:pPr>
                        <w:jc w:val="center"/>
                        <w:rPr>
                          <w:sz w:val="20"/>
                          <w:szCs w:val="22"/>
                        </w:rPr>
                      </w:pPr>
                      <w:r>
                        <w:rPr>
                          <w:rFonts w:hint="eastAsia"/>
                          <w:sz w:val="20"/>
                          <w:szCs w:val="22"/>
                        </w:rPr>
                        <w:t>档案柜</w:t>
                      </w:r>
                    </w:p>
                  </w:txbxContent>
                </v:textbox>
              </v:rect>
              <v:rect id="Rectangle 7" o:spid="_x0000_s1031" o:spt="1" style="position:absolute;left:4921;top:11455;height:403;width:797;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">
                <v:path/>
                <v:fill focussize="0,0"/>
                <v:stroke/>
                <v:imagedata o:title=""/>
                <o:lock v:ext="edit"/>
                <v:textbox inset="0mm,0mm,0mm,0mm">
                  <w:txbxContent>
                    <w:p>
                      <w:pPr>
                        <w:jc w:val="center"/>
                        <w:rPr>
                          <w:sz w:val="20"/>
                          <w:szCs w:val="22"/>
                        </w:rPr>
                      </w:pPr>
                      <w:r>
                        <w:rPr>
                          <w:rFonts w:hint="eastAsia"/>
                          <w:sz w:val="20"/>
                          <w:szCs w:val="22"/>
                        </w:rPr>
                        <w:t>档案柜</w:t>
                      </w:r>
                    </w:p>
                  </w:txbxContent>
                </v:textbox>
              </v:rect>
              <v:rect id="Rectangle 8" o:spid="_x0000_s1032" o:spt="1" style="position:absolute;left:5718;top:11455;height:403;width:797;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">
                <v:path/>
                <v:fill focussize="0,0"/>
                <v:stroke/>
                <v:imagedata o:title=""/>
                <o:lock v:ext="edit"/>
                <v:textbox inset="0mm,0mm,0mm,0mm">
                  <w:txbxContent>
                    <w:p>
                      <w:pPr>
                        <w:jc w:val="center"/>
                        <w:rPr>
                          <w:sz w:val="20"/>
                          <w:szCs w:val="22"/>
                        </w:rPr>
                      </w:pPr>
                      <w:r>
                        <w:rPr>
                          <w:rFonts w:hint="eastAsia"/>
                          <w:sz w:val="20"/>
                          <w:szCs w:val="22"/>
                        </w:rPr>
                        <w:t>档案柜</w:t>
                      </w:r>
                    </w:p>
                  </w:txbxContent>
                </v:textbox>
              </v:rect>
            </v:group>
            <v:rect id="Rectangle 10" o:spid="_x0000_s1033" o:spt="1" style="position:absolute;left:3720;top:7222;height:1341;width:365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path/>
              <v:fill focussize="0,0"/>
              <v:stroke/>
              <v:imagedata o:title=""/>
              <o:lock v:ext="edit"/>
            </v:rect>
          </v:group>
        </w:pict>
      </w:r>
      <w:r>
        <w:pict>
          <v:shape id="Text Box 42" o:spid="_x0000_s1034" o:spt="202" type="#_x0000_t202" style="position:absolute;left:0pt;margin-left:188.8pt;margin-top:153.35pt;height:20.15pt;width:34.55pt;mso-wrap-distance-bottom:3.6pt;mso-wrap-distance-left:9pt;mso-wrap-distance-right:9pt;mso-wrap-distance-top:3.6pt;z-index:251692032;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">
            <v:path/>
            <v:fill focussize="0,0"/>
            <v:stroke on="f" joinstyle="miter"/>
            <v:imagedata o:title=""/>
            <o:lock v:ext="edit"/>
            <v:textbox>
              <w:txbxContent>
                <w:p>
                  <w:r>
                    <w:rPr>
                      <w:rFonts w:hint="eastAsia"/>
                      <w:sz w:val="20"/>
                      <w:szCs w:val="22"/>
                    </w:rPr>
                    <w:t>工位</w:t>
                  </w:r>
                </w:p>
              </w:txbxContent>
            </v:textbox>
            <w10:wrap type="square"/>
          </v:shape>
        </w:pict>
      </w:r>
      <w:r>
        <w:pict>
          <v:shape id="Text Box 31" o:spid="_x0000_s1035" o:spt="202" type="#_x0000_t202" style="position:absolute;left:0pt;margin-left:96pt;margin-top:137.7pt;height:22pt;width:34.75pt;mso-wrap-distance-bottom:3.6pt;mso-wrap-distance-left:9pt;mso-wrap-distance-right:9pt;mso-wrap-distance-top:3.6pt;z-index:251686912;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">
            <v:path/>
            <v:fill on="f" focussize="0,0"/>
            <v:stroke on="f" joinstyle="miter"/>
            <v:imagedata o:title=""/>
            <o:lock v:ext="edit"/>
            <v:textbox>
              <w:txbxContent>
                <w:p>
                  <w:r>
                    <w:rPr>
                      <w:rFonts w:hint="eastAsia"/>
                      <w:sz w:val="20"/>
                      <w:szCs w:val="22"/>
                    </w:rPr>
                    <w:t>工位</w:t>
                  </w:r>
                </w:p>
              </w:txbxContent>
            </v:textbox>
            <w10:wrap type="square"/>
          </v:shape>
        </w:pict>
      </w:r>
      <w:r>
        <w:pict>
          <v:shape id="Text Box 43" o:spid="_x0000_s1036" o:spt="202" type="#_x0000_t202" style="position:absolute;left:0pt;margin-left:138.65pt;margin-top:153.35pt;height:20.15pt;width:34.55pt;mso-wrap-distance-bottom:3.6pt;mso-wrap-distance-left:9pt;mso-wrap-distance-right:9pt;mso-wrap-distance-top:3.6pt;z-index:251693056;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">
            <v:path/>
            <v:fill focussize="0,0"/>
            <v:stroke on="f" joinstyle="miter"/>
            <v:imagedata o:title=""/>
            <o:lock v:ext="edit"/>
            <v:textbox>
              <w:txbxContent>
                <w:p>
                  <w:r>
                    <w:rPr>
                      <w:rFonts w:hint="eastAsia"/>
                      <w:sz w:val="20"/>
                      <w:szCs w:val="22"/>
                    </w:rPr>
                    <w:t>工位</w:t>
                  </w:r>
                </w:p>
              </w:txbxContent>
            </v:textbox>
            <w10:wrap type="square"/>
          </v:shape>
        </w:pict>
      </w:r>
      <w:r>
        <w:pict>
          <v:shape id="Text Box 41" o:spid="_x0000_s1037" o:spt="202" type="#_x0000_t202" style="position:absolute;left:0pt;margin-left:238.95pt;margin-top:153.35pt;height:20.15pt;width:34.55pt;mso-wrap-distance-bottom:3.6pt;mso-wrap-distance-left:9pt;mso-wrap-distance-right:9pt;mso-wrap-distance-top:3.6pt;z-index:251691008;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">
            <v:path/>
            <v:fill focussize="0,0"/>
            <v:stroke on="f" joinstyle="miter"/>
            <v:imagedata o:title=""/>
            <o:lock v:ext="edit"/>
            <v:textbox>
              <w:txbxContent>
                <w:p>
                  <w:r>
                    <w:rPr>
                      <w:rFonts w:hint="eastAsia"/>
                      <w:sz w:val="20"/>
                      <w:szCs w:val="22"/>
                    </w:rPr>
                    <w:t>工位</w:t>
                  </w:r>
                </w:p>
              </w:txbxContent>
            </v:textbox>
            <w10:wrap type="square"/>
          </v:shape>
        </w:pict>
      </w:r>
      <w:r>
        <w:pict>
          <v:shape id="Text Box 40" o:spid="_x0000_s1038" o:spt="202" type="#_x0000_t202" style="position:absolute;left:0pt;margin-left:238.95pt;margin-top:120.35pt;height:20.15pt;width:34.55pt;mso-wrap-distance-bottom:3.6pt;mso-wrap-distance-left:9pt;mso-wrap-distance-right:9pt;mso-wrap-distance-top:3.6pt;z-index:251689984;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">
            <v:path/>
            <v:fill focussize="0,0"/>
            <v:stroke on="f" joinstyle="miter"/>
            <v:imagedata o:title=""/>
            <o:lock v:ext="edit"/>
            <v:textbox>
              <w:txbxContent>
                <w:p>
                  <w:r>
                    <w:rPr>
                      <w:rFonts w:hint="eastAsia"/>
                      <w:sz w:val="20"/>
                      <w:szCs w:val="22"/>
                    </w:rPr>
                    <w:t>工位</w:t>
                  </w:r>
                </w:p>
              </w:txbxContent>
            </v:textbox>
            <w10:wrap type="square"/>
          </v:shape>
        </w:pict>
      </w:r>
      <w:r>
        <w:pict>
          <v:shape id="Text Box 39" o:spid="_x0000_s1039" o:spt="202" type="#_x0000_t202" style="position:absolute;left:0pt;margin-left:187.65pt;margin-top:120.35pt;height:20.15pt;width:34.55pt;mso-wrap-distance-bottom:3.6pt;mso-wrap-distance-left:9pt;mso-wrap-distance-right:9pt;mso-wrap-distance-top:3.6pt;z-index:251688960;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">
            <v:path/>
            <v:fill focussize="0,0"/>
            <v:stroke on="f" joinstyle="miter"/>
            <v:imagedata o:title=""/>
            <o:lock v:ext="edit"/>
            <v:textbox>
              <w:txbxContent>
                <w:p>
                  <w:r>
                    <w:rPr>
                      <w:rFonts w:hint="eastAsia"/>
                      <w:sz w:val="20"/>
                      <w:szCs w:val="22"/>
                    </w:rPr>
                    <w:t>工位</w:t>
                  </w:r>
                </w:p>
              </w:txbxContent>
            </v:textbox>
            <w10:wrap type="square"/>
          </v:shape>
        </w:pict>
      </w:r>
      <w:r>
        <w:pict>
          <v:shape id="Text Box 38" o:spid="_x0000_s1040" o:spt="202" type="#_x0000_t202" style="position:absolute;left:0pt;margin-left:138.65pt;margin-top:120.35pt;height:20.15pt;width:34.55pt;mso-wrap-distance-bottom:3.6pt;mso-wrap-distance-left:9pt;mso-wrap-distance-right:9pt;mso-wrap-distance-top:3.6pt;z-index:251687936;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">
            <v:path/>
            <v:fill focussize="0,0"/>
            <v:stroke on="f" joinstyle="miter"/>
            <v:imagedata o:title=""/>
            <o:lock v:ext="edit"/>
            <v:textbox>
              <w:txbxContent>
                <w:p>
                  <w:r>
                    <w:rPr>
                      <w:rFonts w:hint="eastAsia"/>
                      <w:sz w:val="20"/>
                      <w:szCs w:val="22"/>
                    </w:rPr>
                    <w:t>工位</w:t>
                  </w:r>
                </w:p>
              </w:txbxContent>
            </v:textbox>
            <w10:wrap type="square"/>
          </v:shape>
        </w:pict>
      </w:r>
      <w:r>
        <w:pict>
          <v:shape id="AutoShape 15" o:spid="_x0000_s1045" o:spt="32" type="#_x0000_t32" style="position:absolute;left:0pt;margin-left:130.75pt;margin-top:146pt;height:0.05pt;width:147.9pt;z-index:25166950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">
            <v:path arrowok="t"/>
            <v:fill on="f" focussize="0,0"/>
            <v:stroke weight="1pt" color="#666666"/>
            <v:imagedata o:title=""/>
            <o:lock v:ext="edit"/>
          </v:shape>
        </w:pict>
      </w:r>
      <w:r>
        <w:pict>
          <v:shape id="AutoShape 30" o:spid="_x0000_s1044" o:spt="32" type="#_x0000_t32" style="position:absolute;left:0pt;margin-left:230.55pt;margin-top:112.1pt;height:67.05pt;width:0.05pt;z-index:25168486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">
            <v:path arrowok="t"/>
            <v:fill on="f" focussize="0,0"/>
            <v:stroke weight="1pt" color="#666666"/>
            <v:imagedata o:title=""/>
            <o:lock v:ext="edit"/>
          </v:shape>
        </w:pict>
      </w:r>
      <w:r>
        <w:pict>
          <v:shape id="AutoShape 29" o:spid="_x0000_s1043" o:spt="32" type="#_x0000_t32" style="position:absolute;left:0pt;margin-left:180.65pt;margin-top:112.1pt;height:67.05pt;width:0.05pt;z-index:25168384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">
            <v:path arrowok="t"/>
            <v:fill on="f" focussize="0,0"/>
            <v:stroke weight="1pt" color="#666666"/>
            <v:imagedata o:title=""/>
            <o:lock v:ext="edit"/>
          </v:shape>
        </w:pict>
      </w:r>
      <w:r>
        <w:pict>
          <v:shape id="AutoShape 11" o:spid="_x0000_s1042" o:spt="32" type="#_x0000_t32" style="position:absolute;left:0pt;margin-left:130.75pt;margin-top:112.1pt;height:67.05pt;width:0pt;z-index:25166643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">
            <v:path arrowok="t"/>
            <v:fill on="f" focussize="0,0"/>
            <v:stroke weight="1pt" color="#666666"/>
            <v:imagedata o:title=""/>
            <o:lock v:ext="edit"/>
          </v:shape>
        </w:pict>
      </w:r>
      <w:r>
        <w:pict>
          <v:shape id="文本框 2" o:spid="_x0000_s1041" o:spt="202" type="#_x0000_t202" style="position:absolute;left:0pt;margin-left:13.1pt;margin-top:21.55pt;height:191.45pt;width:388.9pt;mso-wrap-distance-bottom:3.6pt;mso-wrap-distance-left:9pt;mso-wrap-distance-right:9pt;mso-wrap-distance-top:3.6pt;z-index:251658240;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">
            <v:path/>
            <v:fill focussize="0,0"/>
            <v:stroke on="f" joinstyle="miter"/>
            <v:imagedata o:title=""/>
            <o:lock v:ext="edit"/>
            <v:textbox>
              <w:txbxContent>
                <w:p/>
              </w:txbxContent>
            </v:textbox>
            <w10:wrap type="square"/>
          </v:shape>
        </w:pict>
      </w:r>
      <w:r>
        <w:rPr>
          <w:rFonts w:hint="eastAsia"/>
          <w:szCs w:val="21"/>
        </w:rPr>
        <w:t>图1</w:t>
      </w:r>
      <w:r>
        <w:rPr>
          <w:szCs w:val="21"/>
        </w:rPr>
        <w:t>2</w:t>
      </w:r>
      <w:r>
        <w:rPr>
          <w:rFonts w:hint="eastAsia"/>
          <w:szCs w:val="21"/>
        </w:rPr>
        <w:t>办公室布局示意图</w:t>
      </w:r>
    </w:p>
    <w:p>
      <w:pPr>
        <w:pStyle w:val="2"/>
        <w:spacing w:before="0" w:after="0"/>
        <w:rPr>
          <w:rFonts w:ascii="黑体" w:hAnsi="黑体" w:eastAsia="黑体"/>
          <w:bCs/>
          <w:sz w:val="21"/>
          <w:szCs w:val="21"/>
        </w:rPr>
      </w:pPr>
      <w:bookmarkStart w:id="30" w:name="_Toc34083597"/>
      <w:r>
        <w:rPr>
          <w:rFonts w:hint="eastAsia" w:ascii="黑体" w:hAnsi="黑体" w:eastAsia="黑体"/>
          <w:bCs/>
          <w:sz w:val="21"/>
          <w:szCs w:val="21"/>
        </w:rPr>
        <w:t>7</w:t>
      </w:r>
      <w:r>
        <w:rPr>
          <w:rFonts w:ascii="黑体" w:hAnsi="黑体" w:eastAsia="黑体"/>
          <w:bCs/>
          <w:sz w:val="21"/>
          <w:szCs w:val="21"/>
        </w:rPr>
        <w:t xml:space="preserve">  </w:t>
      </w:r>
      <w:r>
        <w:rPr>
          <w:rFonts w:hint="eastAsia" w:ascii="黑体" w:hAnsi="黑体" w:eastAsia="黑体"/>
          <w:bCs/>
          <w:sz w:val="21"/>
          <w:szCs w:val="21"/>
        </w:rPr>
        <w:t>化验室仪器配备</w:t>
      </w:r>
      <w:bookmarkEnd w:id="30"/>
    </w:p>
    <w:p>
      <w:pPr>
        <w:spacing w:line="460" w:lineRule="exact"/>
        <w:ind w:firstLine="420" w:firstLineChars="200"/>
        <w:rPr>
          <w:bCs/>
          <w:color w:val="000000" w:themeColor="text1"/>
          <w:szCs w:val="21"/>
        </w:rPr>
      </w:pPr>
      <w:r>
        <w:rPr>
          <w:rFonts w:hint="eastAsia"/>
          <w:bCs/>
          <w:color w:val="000000" w:themeColor="text1"/>
          <w:szCs w:val="21"/>
        </w:rPr>
        <w:t>根据《农村生活污水处理设施水污染物排放标准》（DB33/973）的现行有效指标设置检测指标项。企业也可根据运维实际增加辅助测试指标。具体检测方法及检测仪器以国家发布现行有效的检测标准为准。</w:t>
      </w:r>
    </w:p>
    <w:p>
      <w:pPr>
        <w:spacing w:line="460" w:lineRule="exact"/>
        <w:ind w:firstLine="420" w:firstLineChars="200"/>
        <w:rPr>
          <w:bCs/>
          <w:szCs w:val="21"/>
        </w:rPr>
      </w:pPr>
      <w:r>
        <w:rPr>
          <w:rFonts w:hint="eastAsia"/>
          <w:bCs/>
          <w:color w:val="000000" w:themeColor="text1"/>
          <w:szCs w:val="21"/>
        </w:rPr>
        <w:t>仪器检定根据《中华人民共和国强制检定的工作计量器具目录》中规定的执行，并在检定周期内做好期间</w:t>
      </w:r>
      <w:r>
        <w:rPr>
          <w:rFonts w:hint="eastAsia"/>
          <w:bCs/>
          <w:szCs w:val="21"/>
        </w:rPr>
        <w:t>核查及仪器的维护保养。</w:t>
      </w:r>
    </w:p>
    <w:p>
      <w:pPr>
        <w:spacing w:line="460" w:lineRule="exact"/>
        <w:ind w:firstLine="420" w:firstLineChars="200"/>
        <w:rPr>
          <w:color w:val="FF0000"/>
        </w:rPr>
      </w:pPr>
      <w:r>
        <w:rPr>
          <w:rFonts w:hint="eastAsia"/>
          <w:bCs/>
          <w:szCs w:val="21"/>
        </w:rPr>
        <w:t>化验室仪器配备情况见表7-1。</w:t>
      </w:r>
    </w:p>
    <w:p>
      <w:pPr>
        <w:spacing w:beforeLines="50" w:afterLines="50" w:line="360" w:lineRule="auto"/>
        <w:rPr>
          <w:rFonts w:ascii="黑体" w:hAnsi="黑体" w:eastAsia="黑体"/>
          <w:bCs/>
          <w:sz w:val="24"/>
        </w:rPr>
        <w:sectPr>
          <w:footerReference r:id="rId3" w:type="default"/>
          <w:pgSz w:w="11906" w:h="16838"/>
          <w:pgMar w:top="1440" w:right="1800" w:bottom="1440" w:left="1800" w:header="851" w:footer="992" w:gutter="0"/>
          <w:pgNumType w:start="1"/>
          <w:cols w:space="425" w:num="1"/>
          <w:docGrid w:type="lines" w:linePitch="312" w:charSpace="0"/>
        </w:sectPr>
      </w:pPr>
    </w:p>
    <w:p>
      <w:pPr>
        <w:spacing w:beforeLines="50" w:afterLines="50" w:line="360" w:lineRule="auto"/>
        <w:jc w:val="center"/>
        <w:rPr>
          <w:rFonts w:ascii="宋体" w:hAnsi="宋体" w:eastAsia="宋体"/>
          <w:bCs/>
          <w:szCs w:val="21"/>
        </w:rPr>
      </w:pPr>
      <w:r>
        <w:rPr>
          <w:rFonts w:hint="eastAsia" w:ascii="宋体" w:hAnsi="宋体" w:eastAsia="宋体"/>
          <w:bCs/>
          <w:szCs w:val="21"/>
        </w:rPr>
        <w:t>表7-</w:t>
      </w:r>
      <w:r>
        <w:rPr>
          <w:rFonts w:ascii="宋体" w:hAnsi="宋体" w:eastAsia="宋体"/>
          <w:bCs/>
          <w:szCs w:val="21"/>
        </w:rPr>
        <w:t xml:space="preserve">1 </w:t>
      </w:r>
      <w:r>
        <w:rPr>
          <w:rFonts w:hint="eastAsia" w:ascii="宋体" w:hAnsi="宋体" w:eastAsia="宋体"/>
          <w:bCs/>
          <w:szCs w:val="21"/>
        </w:rPr>
        <w:t>方法设备放置地点一览表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1005"/>
        <w:gridCol w:w="5113"/>
        <w:gridCol w:w="4026"/>
        <w:gridCol w:w="3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jc w:val="center"/>
        </w:trPr>
        <w:tc>
          <w:tcPr>
            <w:tcW w:w="596" w:type="dxa"/>
            <w:vAlign w:val="center"/>
          </w:tcPr>
          <w:p>
            <w:pPr>
              <w:spacing w:line="240" w:lineRule="atLeast"/>
              <w:jc w:val="center"/>
              <w:rPr>
                <w:rFonts w:ascii="宋体" w:hAnsi="宋体" w:eastAsia="宋体"/>
                <w:bCs/>
                <w:szCs w:val="21"/>
              </w:rPr>
            </w:pPr>
            <w:r>
              <w:rPr>
                <w:rFonts w:hint="eastAsia" w:ascii="宋体" w:hAnsi="宋体" w:eastAsia="宋体"/>
                <w:bCs/>
                <w:szCs w:val="21"/>
              </w:rPr>
              <w:t>序号</w:t>
            </w:r>
          </w:p>
        </w:tc>
        <w:tc>
          <w:tcPr>
            <w:tcW w:w="1005" w:type="dxa"/>
            <w:vAlign w:val="center"/>
          </w:tcPr>
          <w:p>
            <w:pPr>
              <w:spacing w:line="240" w:lineRule="atLeast"/>
              <w:jc w:val="center"/>
              <w:rPr>
                <w:rFonts w:ascii="宋体" w:hAnsi="宋体" w:eastAsia="宋体"/>
                <w:bCs/>
                <w:szCs w:val="21"/>
              </w:rPr>
            </w:pPr>
            <w:r>
              <w:rPr>
                <w:rFonts w:hint="eastAsia" w:ascii="宋体" w:hAnsi="宋体" w:eastAsia="宋体"/>
                <w:bCs/>
                <w:szCs w:val="21"/>
              </w:rPr>
              <w:t>项目</w:t>
            </w:r>
          </w:p>
        </w:tc>
        <w:tc>
          <w:tcPr>
            <w:tcW w:w="5113" w:type="dxa"/>
            <w:vAlign w:val="center"/>
          </w:tcPr>
          <w:p>
            <w:pPr>
              <w:spacing w:line="240" w:lineRule="atLeast"/>
              <w:jc w:val="center"/>
              <w:rPr>
                <w:rFonts w:ascii="宋体" w:hAnsi="宋体" w:eastAsia="宋体"/>
                <w:bCs/>
                <w:szCs w:val="21"/>
              </w:rPr>
            </w:pPr>
            <w:r>
              <w:rPr>
                <w:rFonts w:hint="eastAsia" w:ascii="宋体" w:hAnsi="宋体" w:eastAsia="宋体"/>
                <w:bCs/>
                <w:szCs w:val="21"/>
              </w:rPr>
              <w:t>分析方法</w:t>
            </w:r>
          </w:p>
        </w:tc>
        <w:tc>
          <w:tcPr>
            <w:tcW w:w="4026" w:type="dxa"/>
            <w:vAlign w:val="center"/>
          </w:tcPr>
          <w:p>
            <w:pPr>
              <w:spacing w:line="240" w:lineRule="atLeast"/>
              <w:jc w:val="center"/>
              <w:rPr>
                <w:rFonts w:ascii="宋体" w:hAnsi="宋体" w:eastAsia="宋体"/>
                <w:bCs/>
                <w:szCs w:val="21"/>
              </w:rPr>
            </w:pPr>
            <w:r>
              <w:rPr>
                <w:rFonts w:hint="eastAsia" w:ascii="宋体" w:hAnsi="宋体" w:eastAsia="宋体"/>
                <w:bCs/>
                <w:szCs w:val="21"/>
              </w:rPr>
              <w:t>主要仪器设备</w:t>
            </w:r>
          </w:p>
        </w:tc>
        <w:tc>
          <w:tcPr>
            <w:tcW w:w="3434" w:type="dxa"/>
            <w:vAlign w:val="center"/>
          </w:tcPr>
          <w:p>
            <w:pPr>
              <w:spacing w:line="240" w:lineRule="atLeast"/>
              <w:jc w:val="center"/>
              <w:rPr>
                <w:rFonts w:ascii="宋体" w:hAnsi="宋体" w:eastAsia="宋体"/>
                <w:bCs/>
                <w:szCs w:val="21"/>
              </w:rPr>
            </w:pPr>
            <w:r>
              <w:rPr>
                <w:rFonts w:hint="eastAsia" w:ascii="宋体" w:hAnsi="宋体" w:eastAsia="宋体"/>
                <w:bCs/>
                <w:szCs w:val="21"/>
              </w:rPr>
              <w:t>放置地点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dxa"/>
            <w:vAlign w:val="center"/>
          </w:tcPr>
          <w:p>
            <w:pPr>
              <w:spacing w:line="240" w:lineRule="atLeast"/>
              <w:jc w:val="center"/>
              <w:rPr>
                <w:rFonts w:ascii="宋体" w:hAnsi="宋体" w:eastAsia="宋体"/>
                <w:bCs/>
                <w:szCs w:val="21"/>
              </w:rPr>
            </w:pPr>
            <w:r>
              <w:rPr>
                <w:rFonts w:hint="eastAsia" w:ascii="宋体" w:hAnsi="宋体" w:eastAsia="宋体"/>
                <w:bCs/>
                <w:szCs w:val="21"/>
              </w:rPr>
              <w:t>1</w:t>
            </w:r>
          </w:p>
        </w:tc>
        <w:tc>
          <w:tcPr>
            <w:tcW w:w="1005" w:type="dxa"/>
            <w:vAlign w:val="center"/>
          </w:tcPr>
          <w:p>
            <w:pPr>
              <w:spacing w:line="240" w:lineRule="atLeast"/>
              <w:jc w:val="center"/>
              <w:rPr>
                <w:rFonts w:ascii="宋体" w:hAnsi="宋体" w:eastAsia="宋体"/>
                <w:bCs/>
                <w:szCs w:val="21"/>
              </w:rPr>
            </w:pPr>
            <w:r>
              <w:rPr>
                <w:rFonts w:hint="eastAsia" w:ascii="宋体" w:hAnsi="宋体" w:eastAsia="宋体"/>
                <w:bCs/>
                <w:szCs w:val="21"/>
              </w:rPr>
              <w:t>p</w:t>
            </w:r>
            <w:r>
              <w:rPr>
                <w:rFonts w:ascii="宋体" w:hAnsi="宋体" w:eastAsia="宋体"/>
                <w:bCs/>
                <w:szCs w:val="21"/>
              </w:rPr>
              <w:t>H</w:t>
            </w:r>
          </w:p>
        </w:tc>
        <w:tc>
          <w:tcPr>
            <w:tcW w:w="5113" w:type="dxa"/>
            <w:vAlign w:val="center"/>
          </w:tcPr>
          <w:p>
            <w:pPr>
              <w:spacing w:line="240" w:lineRule="atLeast"/>
              <w:jc w:val="left"/>
              <w:rPr>
                <w:rFonts w:ascii="宋体" w:hAnsi="宋体" w:eastAsia="宋体"/>
                <w:bCs/>
                <w:szCs w:val="21"/>
              </w:rPr>
            </w:pPr>
            <w:r>
              <w:rPr>
                <w:rFonts w:hint="eastAsia"/>
                <w:bCs/>
                <w:szCs w:val="21"/>
              </w:rPr>
              <w:t>水质 pH值的测定 玻璃电极法 GB/T 6920-1986</w:t>
            </w:r>
          </w:p>
        </w:tc>
        <w:tc>
          <w:tcPr>
            <w:tcW w:w="4026" w:type="dxa"/>
            <w:vAlign w:val="center"/>
          </w:tcPr>
          <w:p>
            <w:pPr>
              <w:spacing w:line="240" w:lineRule="atLeast"/>
              <w:jc w:val="left"/>
              <w:rPr>
                <w:rFonts w:ascii="宋体" w:hAnsi="宋体" w:eastAsia="宋体"/>
                <w:bCs/>
                <w:szCs w:val="21"/>
              </w:rPr>
            </w:pPr>
            <w:r>
              <w:rPr>
                <w:rFonts w:hint="eastAsia"/>
                <w:bCs/>
                <w:szCs w:val="21"/>
              </w:rPr>
              <w:t>p</w:t>
            </w:r>
            <w:r>
              <w:rPr>
                <w:bCs/>
                <w:szCs w:val="21"/>
              </w:rPr>
              <w:t>H</w:t>
            </w:r>
            <w:r>
              <w:rPr>
                <w:rFonts w:hint="eastAsia"/>
                <w:bCs/>
                <w:szCs w:val="21"/>
              </w:rPr>
              <w:t>计</w:t>
            </w:r>
          </w:p>
        </w:tc>
        <w:tc>
          <w:tcPr>
            <w:tcW w:w="3434" w:type="dxa"/>
            <w:vAlign w:val="center"/>
          </w:tcPr>
          <w:p>
            <w:pPr>
              <w:spacing w:line="240" w:lineRule="atLeast"/>
              <w:jc w:val="left"/>
              <w:rPr>
                <w:bCs/>
                <w:szCs w:val="21"/>
              </w:rPr>
            </w:pPr>
            <w:r>
              <w:rPr>
                <w:rFonts w:hint="eastAsia"/>
                <w:bCs/>
                <w:szCs w:val="21"/>
              </w:rPr>
              <w:t>理化分析室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96" w:type="dxa"/>
            <w:vMerge w:val="restart"/>
            <w:vAlign w:val="center"/>
          </w:tcPr>
          <w:p>
            <w:pPr>
              <w:spacing w:line="240" w:lineRule="atLeast"/>
              <w:jc w:val="center"/>
              <w:rPr>
                <w:rFonts w:ascii="宋体" w:hAnsi="宋体" w:eastAsia="宋体"/>
                <w:bCs/>
                <w:szCs w:val="21"/>
              </w:rPr>
            </w:pPr>
            <w:r>
              <w:rPr>
                <w:rFonts w:hint="eastAsia" w:ascii="宋体" w:hAnsi="宋体" w:eastAsia="宋体"/>
                <w:bCs/>
                <w:szCs w:val="21"/>
              </w:rPr>
              <w:t>2</w:t>
            </w:r>
          </w:p>
        </w:tc>
        <w:tc>
          <w:tcPr>
            <w:tcW w:w="1005" w:type="dxa"/>
            <w:vMerge w:val="restart"/>
            <w:vAlign w:val="center"/>
          </w:tcPr>
          <w:p>
            <w:pPr>
              <w:spacing w:line="240" w:lineRule="atLeast"/>
              <w:jc w:val="center"/>
              <w:rPr>
                <w:rFonts w:ascii="宋体" w:hAnsi="宋体" w:eastAsia="宋体"/>
                <w:bCs/>
                <w:szCs w:val="21"/>
              </w:rPr>
            </w:pPr>
            <w:r>
              <w:rPr>
                <w:rFonts w:hint="eastAsia" w:ascii="宋体" w:hAnsi="宋体" w:eastAsia="宋体"/>
                <w:bCs/>
                <w:szCs w:val="21"/>
              </w:rPr>
              <w:t>化学需氧量</w:t>
            </w:r>
          </w:p>
        </w:tc>
        <w:tc>
          <w:tcPr>
            <w:tcW w:w="5113" w:type="dxa"/>
            <w:vAlign w:val="center"/>
          </w:tcPr>
          <w:p>
            <w:pPr>
              <w:spacing w:line="240" w:lineRule="atLeast"/>
              <w:jc w:val="left"/>
              <w:rPr>
                <w:bCs/>
                <w:szCs w:val="21"/>
              </w:rPr>
            </w:pPr>
            <w:r>
              <w:rPr>
                <w:rFonts w:hint="eastAsia"/>
                <w:bCs/>
                <w:szCs w:val="21"/>
              </w:rPr>
              <w:t>水质 化学需氧量的测定 重铬酸盐法 HJ 828-2017</w:t>
            </w:r>
          </w:p>
        </w:tc>
        <w:tc>
          <w:tcPr>
            <w:tcW w:w="4026" w:type="dxa"/>
            <w:vAlign w:val="center"/>
          </w:tcPr>
          <w:p>
            <w:pPr>
              <w:spacing w:line="240" w:lineRule="atLeast"/>
              <w:jc w:val="left"/>
              <w:rPr>
                <w:bCs/>
                <w:szCs w:val="21"/>
              </w:rPr>
            </w:pPr>
            <w:r>
              <w:rPr>
                <w:rFonts w:hint="eastAsia"/>
                <w:bCs/>
                <w:szCs w:val="21"/>
              </w:rPr>
              <w:t>回流装置、滴定装置</w:t>
            </w:r>
          </w:p>
        </w:tc>
        <w:tc>
          <w:tcPr>
            <w:tcW w:w="3434" w:type="dxa"/>
            <w:vAlign w:val="center"/>
          </w:tcPr>
          <w:p>
            <w:pPr>
              <w:spacing w:line="240" w:lineRule="atLeast"/>
              <w:jc w:val="left"/>
              <w:rPr>
                <w:bCs/>
                <w:szCs w:val="21"/>
              </w:rPr>
            </w:pPr>
            <w:r>
              <w:rPr>
                <w:rFonts w:hint="eastAsia"/>
                <w:bCs/>
                <w:szCs w:val="21"/>
              </w:rPr>
              <w:t>理化分析室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96" w:type="dxa"/>
            <w:vMerge w:val="continue"/>
            <w:vAlign w:val="center"/>
          </w:tcPr>
          <w:p>
            <w:pPr>
              <w:spacing w:line="240" w:lineRule="atLeast"/>
              <w:jc w:val="center"/>
              <w:rPr>
                <w:rFonts w:ascii="宋体" w:hAnsi="宋体" w:eastAsia="宋体"/>
                <w:bCs/>
                <w:szCs w:val="21"/>
              </w:rPr>
            </w:pPr>
          </w:p>
        </w:tc>
        <w:tc>
          <w:tcPr>
            <w:tcW w:w="1005" w:type="dxa"/>
            <w:vMerge w:val="continue"/>
            <w:vAlign w:val="center"/>
          </w:tcPr>
          <w:p>
            <w:pPr>
              <w:spacing w:line="240" w:lineRule="atLeast"/>
              <w:jc w:val="center"/>
              <w:rPr>
                <w:rFonts w:ascii="宋体" w:hAnsi="宋体" w:eastAsia="宋体"/>
                <w:bCs/>
                <w:szCs w:val="21"/>
              </w:rPr>
            </w:pPr>
          </w:p>
        </w:tc>
        <w:tc>
          <w:tcPr>
            <w:tcW w:w="5113" w:type="dxa"/>
            <w:vAlign w:val="center"/>
          </w:tcPr>
          <w:p>
            <w:pPr>
              <w:spacing w:line="240" w:lineRule="atLeast"/>
              <w:jc w:val="left"/>
              <w:rPr>
                <w:bCs/>
                <w:szCs w:val="21"/>
              </w:rPr>
            </w:pPr>
            <w:r>
              <w:rPr>
                <w:rFonts w:hint="eastAsia"/>
                <w:bCs/>
                <w:szCs w:val="21"/>
              </w:rPr>
              <w:t>水质 化学需氧量的测定 快速消解分光光度法 HJ/T 399-2007</w:t>
            </w:r>
          </w:p>
        </w:tc>
        <w:tc>
          <w:tcPr>
            <w:tcW w:w="4026" w:type="dxa"/>
            <w:vAlign w:val="center"/>
          </w:tcPr>
          <w:p>
            <w:pPr>
              <w:spacing w:line="240" w:lineRule="atLeast"/>
              <w:jc w:val="left"/>
              <w:rPr>
                <w:bCs/>
                <w:szCs w:val="21"/>
              </w:rPr>
            </w:pPr>
            <w:r>
              <w:rPr>
                <w:rFonts w:hint="eastAsia"/>
                <w:bCs/>
                <w:szCs w:val="21"/>
              </w:rPr>
              <w:t>快速消解仪、专用分光光度计</w:t>
            </w:r>
          </w:p>
        </w:tc>
        <w:tc>
          <w:tcPr>
            <w:tcW w:w="3434" w:type="dxa"/>
            <w:vAlign w:val="center"/>
          </w:tcPr>
          <w:p>
            <w:pPr>
              <w:spacing w:line="240" w:lineRule="atLeast"/>
              <w:jc w:val="left"/>
              <w:rPr>
                <w:bCs/>
                <w:szCs w:val="21"/>
              </w:rPr>
            </w:pPr>
            <w:r>
              <w:rPr>
                <w:rFonts w:hint="eastAsia"/>
                <w:bCs/>
                <w:szCs w:val="21"/>
              </w:rPr>
              <w:t>理化分析室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dxa"/>
            <w:vMerge w:val="continue"/>
            <w:vAlign w:val="center"/>
          </w:tcPr>
          <w:p>
            <w:pPr>
              <w:spacing w:line="240" w:lineRule="atLeast"/>
              <w:jc w:val="center"/>
              <w:rPr>
                <w:rFonts w:ascii="宋体" w:hAnsi="宋体" w:eastAsia="宋体"/>
                <w:bCs/>
                <w:szCs w:val="21"/>
              </w:rPr>
            </w:pPr>
          </w:p>
        </w:tc>
        <w:tc>
          <w:tcPr>
            <w:tcW w:w="1005" w:type="dxa"/>
            <w:vMerge w:val="continue"/>
            <w:vAlign w:val="center"/>
          </w:tcPr>
          <w:p>
            <w:pPr>
              <w:spacing w:line="240" w:lineRule="atLeast"/>
              <w:jc w:val="center"/>
              <w:rPr>
                <w:rFonts w:ascii="宋体" w:hAnsi="宋体" w:eastAsia="宋体"/>
                <w:bCs/>
                <w:szCs w:val="21"/>
              </w:rPr>
            </w:pPr>
          </w:p>
        </w:tc>
        <w:tc>
          <w:tcPr>
            <w:tcW w:w="5113" w:type="dxa"/>
            <w:vAlign w:val="center"/>
          </w:tcPr>
          <w:p>
            <w:pPr>
              <w:spacing w:line="240" w:lineRule="atLeast"/>
              <w:jc w:val="left"/>
              <w:rPr>
                <w:bCs/>
                <w:szCs w:val="21"/>
              </w:rPr>
            </w:pPr>
            <w:r>
              <w:rPr>
                <w:rFonts w:hint="eastAsia"/>
                <w:bCs/>
                <w:szCs w:val="21"/>
              </w:rPr>
              <w:t>高氯废水 化学需氧量的测定 氯气校正法 HJ/T 70-2001</w:t>
            </w:r>
          </w:p>
        </w:tc>
        <w:tc>
          <w:tcPr>
            <w:tcW w:w="4026" w:type="dxa"/>
            <w:vAlign w:val="center"/>
          </w:tcPr>
          <w:p>
            <w:pPr>
              <w:spacing w:line="240" w:lineRule="atLeast"/>
              <w:jc w:val="left"/>
              <w:rPr>
                <w:bCs/>
                <w:szCs w:val="21"/>
              </w:rPr>
            </w:pPr>
            <w:r>
              <w:rPr>
                <w:rFonts w:hint="eastAsia"/>
                <w:bCs/>
                <w:szCs w:val="21"/>
              </w:rPr>
              <w:t>回流装置、滴定装置</w:t>
            </w:r>
          </w:p>
        </w:tc>
        <w:tc>
          <w:tcPr>
            <w:tcW w:w="3434" w:type="dxa"/>
            <w:vAlign w:val="center"/>
          </w:tcPr>
          <w:p>
            <w:pPr>
              <w:spacing w:line="240" w:lineRule="atLeast"/>
              <w:jc w:val="left"/>
              <w:rPr>
                <w:bCs/>
                <w:szCs w:val="21"/>
              </w:rPr>
            </w:pPr>
            <w:r>
              <w:rPr>
                <w:rFonts w:hint="eastAsia"/>
                <w:bCs/>
                <w:szCs w:val="21"/>
              </w:rPr>
              <w:t>理化分析室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dxa"/>
            <w:vMerge w:val="restart"/>
            <w:vAlign w:val="center"/>
          </w:tcPr>
          <w:p>
            <w:pPr>
              <w:spacing w:line="240" w:lineRule="atLeast"/>
              <w:jc w:val="center"/>
              <w:rPr>
                <w:rFonts w:ascii="宋体" w:hAnsi="宋体" w:eastAsia="宋体"/>
                <w:bCs/>
                <w:szCs w:val="21"/>
              </w:rPr>
            </w:pPr>
            <w:r>
              <w:rPr>
                <w:rFonts w:hint="eastAsia" w:ascii="宋体" w:hAnsi="宋体" w:eastAsia="宋体"/>
                <w:bCs/>
                <w:szCs w:val="21"/>
              </w:rPr>
              <w:t>3</w:t>
            </w:r>
          </w:p>
        </w:tc>
        <w:tc>
          <w:tcPr>
            <w:tcW w:w="1005" w:type="dxa"/>
            <w:vMerge w:val="restart"/>
            <w:vAlign w:val="center"/>
          </w:tcPr>
          <w:p>
            <w:pPr>
              <w:spacing w:line="240" w:lineRule="atLeast"/>
              <w:jc w:val="center"/>
              <w:rPr>
                <w:rFonts w:ascii="宋体" w:hAnsi="宋体" w:eastAsia="宋体"/>
                <w:bCs/>
                <w:szCs w:val="21"/>
              </w:rPr>
            </w:pPr>
            <w:r>
              <w:rPr>
                <w:rFonts w:hint="eastAsia" w:ascii="宋体" w:hAnsi="宋体" w:eastAsia="宋体"/>
                <w:bCs/>
                <w:szCs w:val="21"/>
              </w:rPr>
              <w:t>氨氮</w:t>
            </w:r>
          </w:p>
        </w:tc>
        <w:tc>
          <w:tcPr>
            <w:tcW w:w="5113" w:type="dxa"/>
            <w:vAlign w:val="center"/>
          </w:tcPr>
          <w:p>
            <w:pPr>
              <w:spacing w:line="240" w:lineRule="atLeast"/>
              <w:jc w:val="left"/>
              <w:rPr>
                <w:bCs/>
                <w:szCs w:val="21"/>
              </w:rPr>
            </w:pPr>
            <w:r>
              <w:rPr>
                <w:rFonts w:hint="eastAsia"/>
                <w:bCs/>
                <w:szCs w:val="21"/>
              </w:rPr>
              <w:t>水质 氨氮的测定 纳氏试剂分光光度法 HJ 535-2009</w:t>
            </w:r>
          </w:p>
        </w:tc>
        <w:tc>
          <w:tcPr>
            <w:tcW w:w="4026" w:type="dxa"/>
            <w:vAlign w:val="center"/>
          </w:tcPr>
          <w:p>
            <w:pPr>
              <w:spacing w:line="240" w:lineRule="atLeast"/>
              <w:jc w:val="left"/>
              <w:rPr>
                <w:bCs/>
                <w:szCs w:val="21"/>
              </w:rPr>
            </w:pPr>
            <w:r>
              <w:rPr>
                <w:rFonts w:hint="eastAsia"/>
                <w:bCs/>
                <w:szCs w:val="21"/>
              </w:rPr>
              <w:t>离心机、蒸馏装置、分光光度计</w:t>
            </w:r>
          </w:p>
        </w:tc>
        <w:tc>
          <w:tcPr>
            <w:tcW w:w="3434" w:type="dxa"/>
            <w:vAlign w:val="center"/>
          </w:tcPr>
          <w:p>
            <w:pPr>
              <w:spacing w:line="240" w:lineRule="atLeast"/>
              <w:rPr>
                <w:szCs w:val="21"/>
              </w:rPr>
            </w:pPr>
            <w:r>
              <w:rPr>
                <w:rFonts w:hint="eastAsia"/>
                <w:bCs/>
                <w:szCs w:val="21"/>
              </w:rPr>
              <w:t>前处理在理化分析室，比色在分光室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dxa"/>
            <w:vMerge w:val="continue"/>
            <w:vAlign w:val="center"/>
          </w:tcPr>
          <w:p>
            <w:pPr>
              <w:spacing w:line="240" w:lineRule="atLeast"/>
              <w:jc w:val="center"/>
              <w:rPr>
                <w:rFonts w:ascii="宋体" w:hAnsi="宋体" w:eastAsia="宋体"/>
                <w:bCs/>
                <w:szCs w:val="21"/>
              </w:rPr>
            </w:pPr>
          </w:p>
        </w:tc>
        <w:tc>
          <w:tcPr>
            <w:tcW w:w="1005" w:type="dxa"/>
            <w:vMerge w:val="continue"/>
            <w:vAlign w:val="center"/>
          </w:tcPr>
          <w:p>
            <w:pPr>
              <w:spacing w:line="240" w:lineRule="atLeast"/>
              <w:jc w:val="center"/>
              <w:rPr>
                <w:rFonts w:ascii="宋体" w:hAnsi="宋体" w:eastAsia="宋体"/>
                <w:bCs/>
                <w:szCs w:val="21"/>
              </w:rPr>
            </w:pPr>
          </w:p>
        </w:tc>
        <w:tc>
          <w:tcPr>
            <w:tcW w:w="5113" w:type="dxa"/>
            <w:vAlign w:val="center"/>
          </w:tcPr>
          <w:p>
            <w:pPr>
              <w:spacing w:line="240" w:lineRule="atLeast"/>
              <w:jc w:val="left"/>
              <w:rPr>
                <w:bCs/>
                <w:szCs w:val="21"/>
              </w:rPr>
            </w:pPr>
            <w:r>
              <w:rPr>
                <w:rFonts w:hint="eastAsia"/>
                <w:bCs/>
                <w:szCs w:val="21"/>
              </w:rPr>
              <w:t>水质 氨氮的测定 水杨酸分光光度法 HJ 536-2009</w:t>
            </w:r>
          </w:p>
        </w:tc>
        <w:tc>
          <w:tcPr>
            <w:tcW w:w="4026" w:type="dxa"/>
            <w:vAlign w:val="center"/>
          </w:tcPr>
          <w:p>
            <w:pPr>
              <w:spacing w:line="240" w:lineRule="atLeast"/>
              <w:jc w:val="left"/>
              <w:rPr>
                <w:bCs/>
                <w:szCs w:val="21"/>
              </w:rPr>
            </w:pPr>
            <w:r>
              <w:rPr>
                <w:rFonts w:hint="eastAsia"/>
                <w:bCs/>
                <w:szCs w:val="21"/>
              </w:rPr>
              <w:t>分光光度计</w:t>
            </w:r>
          </w:p>
        </w:tc>
        <w:tc>
          <w:tcPr>
            <w:tcW w:w="3434" w:type="dxa"/>
            <w:vAlign w:val="center"/>
          </w:tcPr>
          <w:p>
            <w:pPr>
              <w:spacing w:line="240" w:lineRule="atLeast"/>
              <w:rPr>
                <w:szCs w:val="21"/>
              </w:rPr>
            </w:pPr>
            <w:r>
              <w:rPr>
                <w:rFonts w:hint="eastAsia"/>
                <w:bCs/>
                <w:szCs w:val="21"/>
              </w:rPr>
              <w:t>前处理在理化分析室，比色在分光室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dxa"/>
            <w:vMerge w:val="continue"/>
            <w:vAlign w:val="center"/>
          </w:tcPr>
          <w:p>
            <w:pPr>
              <w:spacing w:line="240" w:lineRule="atLeast"/>
              <w:jc w:val="center"/>
              <w:rPr>
                <w:rFonts w:ascii="宋体" w:hAnsi="宋体" w:eastAsia="宋体"/>
                <w:bCs/>
                <w:szCs w:val="21"/>
              </w:rPr>
            </w:pPr>
          </w:p>
        </w:tc>
        <w:tc>
          <w:tcPr>
            <w:tcW w:w="1005" w:type="dxa"/>
            <w:vMerge w:val="continue"/>
            <w:vAlign w:val="center"/>
          </w:tcPr>
          <w:p>
            <w:pPr>
              <w:spacing w:line="240" w:lineRule="atLeast"/>
              <w:jc w:val="center"/>
              <w:rPr>
                <w:rFonts w:ascii="宋体" w:hAnsi="宋体" w:eastAsia="宋体"/>
                <w:bCs/>
                <w:szCs w:val="21"/>
              </w:rPr>
            </w:pPr>
          </w:p>
        </w:tc>
        <w:tc>
          <w:tcPr>
            <w:tcW w:w="5113" w:type="dxa"/>
            <w:vAlign w:val="center"/>
          </w:tcPr>
          <w:p>
            <w:pPr>
              <w:spacing w:line="240" w:lineRule="atLeast"/>
              <w:jc w:val="left"/>
              <w:rPr>
                <w:bCs/>
                <w:szCs w:val="21"/>
              </w:rPr>
            </w:pPr>
            <w:r>
              <w:rPr>
                <w:rFonts w:hint="eastAsia"/>
                <w:bCs/>
                <w:szCs w:val="21"/>
              </w:rPr>
              <w:t>水质 氨氮的测定 气相分子吸收光谱法 HJ/T 195-2005</w:t>
            </w:r>
          </w:p>
        </w:tc>
        <w:tc>
          <w:tcPr>
            <w:tcW w:w="4026" w:type="dxa"/>
            <w:vAlign w:val="center"/>
          </w:tcPr>
          <w:p>
            <w:pPr>
              <w:spacing w:line="240" w:lineRule="atLeast"/>
              <w:jc w:val="left"/>
              <w:rPr>
                <w:bCs/>
                <w:szCs w:val="21"/>
              </w:rPr>
            </w:pPr>
            <w:r>
              <w:rPr>
                <w:rFonts w:hint="eastAsia"/>
                <w:bCs/>
                <w:szCs w:val="21"/>
              </w:rPr>
              <w:t>气相分子吸收光谱仪</w:t>
            </w:r>
          </w:p>
        </w:tc>
        <w:tc>
          <w:tcPr>
            <w:tcW w:w="3434" w:type="dxa"/>
            <w:vAlign w:val="center"/>
          </w:tcPr>
          <w:p>
            <w:pPr>
              <w:spacing w:line="240" w:lineRule="atLeast"/>
              <w:jc w:val="left"/>
              <w:rPr>
                <w:bCs/>
                <w:szCs w:val="21"/>
              </w:rPr>
            </w:pPr>
            <w:r>
              <w:rPr>
                <w:rFonts w:hint="eastAsia"/>
                <w:bCs/>
                <w:szCs w:val="21"/>
              </w:rPr>
              <w:t>气相分子专用房间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dxa"/>
            <w:vMerge w:val="continue"/>
            <w:vAlign w:val="center"/>
          </w:tcPr>
          <w:p>
            <w:pPr>
              <w:spacing w:line="240" w:lineRule="atLeast"/>
              <w:jc w:val="center"/>
              <w:rPr>
                <w:rFonts w:ascii="宋体" w:hAnsi="宋体" w:eastAsia="宋体"/>
                <w:bCs/>
                <w:szCs w:val="21"/>
              </w:rPr>
            </w:pPr>
          </w:p>
        </w:tc>
        <w:tc>
          <w:tcPr>
            <w:tcW w:w="1005" w:type="dxa"/>
            <w:vMerge w:val="continue"/>
            <w:vAlign w:val="center"/>
          </w:tcPr>
          <w:p>
            <w:pPr>
              <w:spacing w:line="240" w:lineRule="atLeast"/>
              <w:jc w:val="center"/>
              <w:rPr>
                <w:rFonts w:ascii="宋体" w:hAnsi="宋体" w:eastAsia="宋体"/>
                <w:bCs/>
                <w:szCs w:val="21"/>
              </w:rPr>
            </w:pPr>
          </w:p>
        </w:tc>
        <w:tc>
          <w:tcPr>
            <w:tcW w:w="5113" w:type="dxa"/>
            <w:vAlign w:val="center"/>
          </w:tcPr>
          <w:p>
            <w:pPr>
              <w:spacing w:line="240" w:lineRule="atLeast"/>
              <w:jc w:val="left"/>
              <w:rPr>
                <w:bCs/>
                <w:szCs w:val="21"/>
              </w:rPr>
            </w:pPr>
            <w:r>
              <w:rPr>
                <w:rFonts w:hint="eastAsia"/>
                <w:bCs/>
                <w:szCs w:val="21"/>
              </w:rPr>
              <w:t>水质 氨氮的测定 蒸馏-中和滴定法 HJ 537-2009</w:t>
            </w:r>
          </w:p>
        </w:tc>
        <w:tc>
          <w:tcPr>
            <w:tcW w:w="4026" w:type="dxa"/>
            <w:vAlign w:val="center"/>
          </w:tcPr>
          <w:p>
            <w:pPr>
              <w:spacing w:line="240" w:lineRule="atLeast"/>
              <w:jc w:val="left"/>
              <w:rPr>
                <w:bCs/>
                <w:szCs w:val="21"/>
              </w:rPr>
            </w:pPr>
            <w:r>
              <w:rPr>
                <w:rFonts w:hint="eastAsia"/>
                <w:bCs/>
                <w:szCs w:val="21"/>
              </w:rPr>
              <w:t>蒸馏装置、滴定装置</w:t>
            </w:r>
          </w:p>
        </w:tc>
        <w:tc>
          <w:tcPr>
            <w:tcW w:w="3434" w:type="dxa"/>
            <w:vAlign w:val="center"/>
          </w:tcPr>
          <w:p>
            <w:pPr>
              <w:spacing w:line="240" w:lineRule="atLeast"/>
              <w:jc w:val="left"/>
              <w:rPr>
                <w:bCs/>
                <w:szCs w:val="21"/>
              </w:rPr>
            </w:pPr>
            <w:r>
              <w:rPr>
                <w:rFonts w:hint="eastAsia"/>
                <w:bCs/>
                <w:szCs w:val="21"/>
              </w:rPr>
              <w:t>理化分析室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dxa"/>
            <w:vMerge w:val="continue"/>
            <w:vAlign w:val="center"/>
          </w:tcPr>
          <w:p>
            <w:pPr>
              <w:spacing w:line="240" w:lineRule="atLeast"/>
              <w:jc w:val="center"/>
              <w:rPr>
                <w:rFonts w:ascii="宋体" w:hAnsi="宋体" w:eastAsia="宋体"/>
                <w:bCs/>
                <w:szCs w:val="21"/>
              </w:rPr>
            </w:pPr>
          </w:p>
        </w:tc>
        <w:tc>
          <w:tcPr>
            <w:tcW w:w="1005" w:type="dxa"/>
            <w:vMerge w:val="continue"/>
            <w:vAlign w:val="center"/>
          </w:tcPr>
          <w:p>
            <w:pPr>
              <w:spacing w:line="240" w:lineRule="atLeast"/>
              <w:jc w:val="center"/>
              <w:rPr>
                <w:rFonts w:ascii="宋体" w:hAnsi="宋体" w:eastAsia="宋体"/>
                <w:bCs/>
                <w:szCs w:val="21"/>
              </w:rPr>
            </w:pPr>
          </w:p>
        </w:tc>
        <w:tc>
          <w:tcPr>
            <w:tcW w:w="5113" w:type="dxa"/>
            <w:vAlign w:val="center"/>
          </w:tcPr>
          <w:p>
            <w:pPr>
              <w:spacing w:line="240" w:lineRule="atLeast"/>
              <w:jc w:val="left"/>
              <w:rPr>
                <w:bCs/>
                <w:szCs w:val="21"/>
              </w:rPr>
            </w:pPr>
            <w:r>
              <w:rPr>
                <w:rFonts w:hint="eastAsia"/>
                <w:bCs/>
                <w:szCs w:val="21"/>
              </w:rPr>
              <w:t>水质 氨氮的测定 流动注射-水杨酸分光光度法 HJ 66</w:t>
            </w:r>
            <w:r>
              <w:rPr>
                <w:bCs/>
                <w:szCs w:val="21"/>
              </w:rPr>
              <w:t>5</w:t>
            </w:r>
            <w:r>
              <w:rPr>
                <w:rFonts w:hint="eastAsia"/>
                <w:bCs/>
                <w:szCs w:val="21"/>
              </w:rPr>
              <w:t>-2013</w:t>
            </w:r>
          </w:p>
        </w:tc>
        <w:tc>
          <w:tcPr>
            <w:tcW w:w="4026" w:type="dxa"/>
            <w:vAlign w:val="center"/>
          </w:tcPr>
          <w:p>
            <w:pPr>
              <w:spacing w:line="240" w:lineRule="atLeast"/>
              <w:jc w:val="left"/>
              <w:rPr>
                <w:bCs/>
                <w:szCs w:val="21"/>
              </w:rPr>
            </w:pPr>
            <w:r>
              <w:rPr>
                <w:rFonts w:hint="eastAsia"/>
                <w:bCs/>
                <w:szCs w:val="21"/>
              </w:rPr>
              <w:t>流动注射仪</w:t>
            </w:r>
          </w:p>
        </w:tc>
        <w:tc>
          <w:tcPr>
            <w:tcW w:w="3434" w:type="dxa"/>
            <w:vAlign w:val="center"/>
          </w:tcPr>
          <w:p>
            <w:pPr>
              <w:spacing w:line="240" w:lineRule="atLeast"/>
              <w:jc w:val="left"/>
              <w:rPr>
                <w:bCs/>
                <w:szCs w:val="21"/>
              </w:rPr>
            </w:pPr>
            <w:r>
              <w:rPr>
                <w:rFonts w:hint="eastAsia"/>
                <w:bCs/>
                <w:szCs w:val="21"/>
              </w:rPr>
              <w:t>流动注射专用房间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dxa"/>
            <w:vMerge w:val="restart"/>
            <w:vAlign w:val="center"/>
          </w:tcPr>
          <w:p>
            <w:pPr>
              <w:spacing w:line="240" w:lineRule="atLeast"/>
              <w:jc w:val="center"/>
              <w:rPr>
                <w:rFonts w:ascii="宋体" w:hAnsi="宋体" w:eastAsia="宋体"/>
                <w:bCs/>
                <w:szCs w:val="21"/>
              </w:rPr>
            </w:pPr>
            <w:r>
              <w:rPr>
                <w:rFonts w:hint="eastAsia" w:ascii="宋体" w:hAnsi="宋体" w:eastAsia="宋体"/>
                <w:bCs/>
                <w:szCs w:val="21"/>
              </w:rPr>
              <w:t>4</w:t>
            </w:r>
          </w:p>
        </w:tc>
        <w:tc>
          <w:tcPr>
            <w:tcW w:w="1005" w:type="dxa"/>
            <w:vMerge w:val="restart"/>
            <w:vAlign w:val="center"/>
          </w:tcPr>
          <w:p>
            <w:pPr>
              <w:spacing w:line="240" w:lineRule="atLeast"/>
              <w:jc w:val="center"/>
              <w:rPr>
                <w:rFonts w:ascii="宋体" w:hAnsi="宋体" w:eastAsia="宋体"/>
                <w:bCs/>
                <w:szCs w:val="21"/>
              </w:rPr>
            </w:pPr>
            <w:r>
              <w:rPr>
                <w:rFonts w:hint="eastAsia" w:ascii="宋体" w:hAnsi="宋体" w:eastAsia="宋体"/>
                <w:bCs/>
                <w:szCs w:val="21"/>
              </w:rPr>
              <w:t>总磷</w:t>
            </w:r>
          </w:p>
        </w:tc>
        <w:tc>
          <w:tcPr>
            <w:tcW w:w="5113" w:type="dxa"/>
            <w:vAlign w:val="center"/>
          </w:tcPr>
          <w:p>
            <w:pPr>
              <w:spacing w:line="240" w:lineRule="atLeast"/>
              <w:jc w:val="left"/>
              <w:rPr>
                <w:bCs/>
                <w:szCs w:val="21"/>
              </w:rPr>
            </w:pPr>
            <w:r>
              <w:rPr>
                <w:rFonts w:hint="eastAsia"/>
                <w:bCs/>
                <w:szCs w:val="21"/>
              </w:rPr>
              <w:t>水质 总磷的测定 钼酸铵分光光度法 GB/T 11893-1989</w:t>
            </w:r>
          </w:p>
        </w:tc>
        <w:tc>
          <w:tcPr>
            <w:tcW w:w="4026" w:type="dxa"/>
            <w:vAlign w:val="center"/>
          </w:tcPr>
          <w:p>
            <w:pPr>
              <w:spacing w:line="240" w:lineRule="atLeast"/>
              <w:jc w:val="left"/>
              <w:rPr>
                <w:bCs/>
                <w:szCs w:val="21"/>
              </w:rPr>
            </w:pPr>
            <w:r>
              <w:rPr>
                <w:rFonts w:hint="eastAsia"/>
                <w:bCs/>
                <w:szCs w:val="21"/>
              </w:rPr>
              <w:t>高压灭菌锅、分光光度计</w:t>
            </w:r>
          </w:p>
        </w:tc>
        <w:tc>
          <w:tcPr>
            <w:tcW w:w="3434" w:type="dxa"/>
            <w:vAlign w:val="center"/>
          </w:tcPr>
          <w:p>
            <w:pPr>
              <w:spacing w:line="240" w:lineRule="atLeast"/>
              <w:jc w:val="left"/>
              <w:rPr>
                <w:bCs/>
                <w:szCs w:val="21"/>
              </w:rPr>
            </w:pPr>
            <w:r>
              <w:rPr>
                <w:rFonts w:hint="eastAsia"/>
                <w:bCs/>
                <w:szCs w:val="21"/>
              </w:rPr>
              <w:t>前处理在理化分析室，比色在分光室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dxa"/>
            <w:vMerge w:val="continue"/>
            <w:vAlign w:val="center"/>
          </w:tcPr>
          <w:p>
            <w:pPr>
              <w:spacing w:line="240" w:lineRule="atLeast"/>
              <w:jc w:val="center"/>
              <w:rPr>
                <w:rFonts w:ascii="宋体" w:hAnsi="宋体" w:eastAsia="宋体"/>
                <w:bCs/>
                <w:szCs w:val="21"/>
              </w:rPr>
            </w:pPr>
          </w:p>
        </w:tc>
        <w:tc>
          <w:tcPr>
            <w:tcW w:w="1005" w:type="dxa"/>
            <w:vMerge w:val="continue"/>
            <w:vAlign w:val="center"/>
          </w:tcPr>
          <w:p>
            <w:pPr>
              <w:spacing w:line="240" w:lineRule="atLeast"/>
              <w:jc w:val="center"/>
              <w:rPr>
                <w:rFonts w:ascii="宋体" w:hAnsi="宋体" w:eastAsia="宋体"/>
                <w:bCs/>
                <w:szCs w:val="21"/>
              </w:rPr>
            </w:pPr>
          </w:p>
        </w:tc>
        <w:tc>
          <w:tcPr>
            <w:tcW w:w="5113" w:type="dxa"/>
            <w:vAlign w:val="center"/>
          </w:tcPr>
          <w:p>
            <w:pPr>
              <w:spacing w:line="240" w:lineRule="atLeast"/>
              <w:jc w:val="left"/>
              <w:rPr>
                <w:bCs/>
                <w:szCs w:val="21"/>
              </w:rPr>
            </w:pPr>
            <w:r>
              <w:rPr>
                <w:rFonts w:hint="eastAsia"/>
                <w:bCs/>
                <w:szCs w:val="21"/>
              </w:rPr>
              <w:t>水质 总磷的测定 流动注射-钼酸铵分光光度法 HJ 671-2013</w:t>
            </w:r>
          </w:p>
        </w:tc>
        <w:tc>
          <w:tcPr>
            <w:tcW w:w="4026" w:type="dxa"/>
            <w:vAlign w:val="center"/>
          </w:tcPr>
          <w:p>
            <w:pPr>
              <w:spacing w:line="240" w:lineRule="atLeast"/>
              <w:jc w:val="left"/>
              <w:rPr>
                <w:bCs/>
                <w:szCs w:val="21"/>
              </w:rPr>
            </w:pPr>
            <w:r>
              <w:rPr>
                <w:rFonts w:hint="eastAsia"/>
                <w:bCs/>
                <w:szCs w:val="21"/>
              </w:rPr>
              <w:t>流动注射仪</w:t>
            </w:r>
          </w:p>
        </w:tc>
        <w:tc>
          <w:tcPr>
            <w:tcW w:w="3434" w:type="dxa"/>
            <w:vAlign w:val="center"/>
          </w:tcPr>
          <w:p>
            <w:pPr>
              <w:spacing w:line="240" w:lineRule="atLeast"/>
              <w:jc w:val="left"/>
              <w:rPr>
                <w:bCs/>
                <w:szCs w:val="21"/>
              </w:rPr>
            </w:pPr>
            <w:r>
              <w:rPr>
                <w:rFonts w:hint="eastAsia"/>
                <w:bCs/>
                <w:szCs w:val="21"/>
              </w:rPr>
              <w:t>流动注射仪专用房间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dxa"/>
            <w:vMerge w:val="continue"/>
            <w:vAlign w:val="center"/>
          </w:tcPr>
          <w:p>
            <w:pPr>
              <w:spacing w:line="240" w:lineRule="atLeast"/>
              <w:jc w:val="center"/>
              <w:rPr>
                <w:rFonts w:ascii="宋体" w:hAnsi="宋体" w:eastAsia="宋体"/>
                <w:bCs/>
                <w:szCs w:val="21"/>
              </w:rPr>
            </w:pPr>
          </w:p>
        </w:tc>
        <w:tc>
          <w:tcPr>
            <w:tcW w:w="1005" w:type="dxa"/>
            <w:vMerge w:val="continue"/>
            <w:vAlign w:val="center"/>
          </w:tcPr>
          <w:p>
            <w:pPr>
              <w:spacing w:line="240" w:lineRule="atLeast"/>
              <w:jc w:val="center"/>
              <w:rPr>
                <w:rFonts w:ascii="宋体" w:hAnsi="宋体" w:eastAsia="宋体"/>
                <w:bCs/>
                <w:szCs w:val="21"/>
              </w:rPr>
            </w:pPr>
          </w:p>
        </w:tc>
        <w:tc>
          <w:tcPr>
            <w:tcW w:w="5113" w:type="dxa"/>
            <w:vAlign w:val="center"/>
          </w:tcPr>
          <w:p>
            <w:pPr>
              <w:spacing w:line="240" w:lineRule="atLeast"/>
              <w:jc w:val="left"/>
              <w:rPr>
                <w:bCs/>
                <w:szCs w:val="21"/>
              </w:rPr>
            </w:pPr>
            <w:r>
              <w:rPr>
                <w:rFonts w:hint="eastAsia"/>
                <w:bCs/>
                <w:szCs w:val="21"/>
              </w:rPr>
              <w:t>水质 磷酸盐和总磷的测定 连续流动-钼酸铵分光光度法 HJ 670-2013</w:t>
            </w:r>
          </w:p>
        </w:tc>
        <w:tc>
          <w:tcPr>
            <w:tcW w:w="4026" w:type="dxa"/>
            <w:vAlign w:val="center"/>
          </w:tcPr>
          <w:p>
            <w:pPr>
              <w:spacing w:line="240" w:lineRule="atLeast"/>
              <w:jc w:val="left"/>
              <w:rPr>
                <w:bCs/>
                <w:szCs w:val="21"/>
              </w:rPr>
            </w:pPr>
            <w:r>
              <w:rPr>
                <w:rFonts w:hint="eastAsia"/>
                <w:bCs/>
                <w:szCs w:val="21"/>
              </w:rPr>
              <w:t>连续流动仪</w:t>
            </w:r>
          </w:p>
        </w:tc>
        <w:tc>
          <w:tcPr>
            <w:tcW w:w="3434" w:type="dxa"/>
            <w:vAlign w:val="center"/>
          </w:tcPr>
          <w:p>
            <w:pPr>
              <w:spacing w:line="240" w:lineRule="atLeast"/>
              <w:jc w:val="left"/>
              <w:rPr>
                <w:bCs/>
                <w:szCs w:val="21"/>
              </w:rPr>
            </w:pPr>
            <w:r>
              <w:rPr>
                <w:rFonts w:hint="eastAsia"/>
                <w:bCs/>
                <w:szCs w:val="21"/>
              </w:rPr>
              <w:t>连续流动仪专用房间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dxa"/>
            <w:vAlign w:val="center"/>
          </w:tcPr>
          <w:p>
            <w:pPr>
              <w:spacing w:line="240" w:lineRule="atLeast"/>
              <w:jc w:val="center"/>
              <w:rPr>
                <w:rFonts w:ascii="宋体" w:hAnsi="宋体" w:eastAsia="宋体"/>
                <w:bCs/>
                <w:szCs w:val="21"/>
              </w:rPr>
            </w:pPr>
            <w:r>
              <w:rPr>
                <w:rFonts w:hint="eastAsia" w:ascii="宋体" w:hAnsi="宋体" w:eastAsia="宋体"/>
                <w:bCs/>
                <w:szCs w:val="21"/>
              </w:rPr>
              <w:t>5</w:t>
            </w:r>
          </w:p>
        </w:tc>
        <w:tc>
          <w:tcPr>
            <w:tcW w:w="1005" w:type="dxa"/>
            <w:vAlign w:val="center"/>
          </w:tcPr>
          <w:p>
            <w:pPr>
              <w:spacing w:line="240" w:lineRule="atLeast"/>
              <w:jc w:val="center"/>
              <w:rPr>
                <w:rFonts w:ascii="宋体" w:hAnsi="宋体" w:eastAsia="宋体"/>
                <w:bCs/>
                <w:szCs w:val="21"/>
              </w:rPr>
            </w:pPr>
            <w:r>
              <w:rPr>
                <w:rFonts w:hint="eastAsia" w:ascii="宋体" w:hAnsi="宋体" w:eastAsia="宋体"/>
                <w:bCs/>
                <w:szCs w:val="21"/>
              </w:rPr>
              <w:t>动植物油类</w:t>
            </w:r>
          </w:p>
        </w:tc>
        <w:tc>
          <w:tcPr>
            <w:tcW w:w="5113" w:type="dxa"/>
            <w:vAlign w:val="center"/>
          </w:tcPr>
          <w:p>
            <w:pPr>
              <w:spacing w:line="240" w:lineRule="atLeast"/>
              <w:jc w:val="left"/>
              <w:rPr>
                <w:bCs/>
                <w:szCs w:val="21"/>
              </w:rPr>
            </w:pPr>
            <w:r>
              <w:rPr>
                <w:rFonts w:hint="eastAsia"/>
                <w:bCs/>
                <w:szCs w:val="21"/>
              </w:rPr>
              <w:t>水质 石油类和动植物油类的测定 红外分光光度法 HJ 637-2018</w:t>
            </w:r>
          </w:p>
        </w:tc>
        <w:tc>
          <w:tcPr>
            <w:tcW w:w="4026" w:type="dxa"/>
            <w:vAlign w:val="center"/>
          </w:tcPr>
          <w:p>
            <w:pPr>
              <w:spacing w:line="240" w:lineRule="atLeast"/>
              <w:jc w:val="left"/>
              <w:rPr>
                <w:bCs/>
                <w:szCs w:val="21"/>
              </w:rPr>
            </w:pPr>
            <w:r>
              <w:rPr>
                <w:rFonts w:hint="eastAsia"/>
                <w:bCs/>
                <w:szCs w:val="21"/>
              </w:rPr>
              <w:t>水平振荡器、马弗炉、红外测油仪</w:t>
            </w:r>
          </w:p>
        </w:tc>
        <w:tc>
          <w:tcPr>
            <w:tcW w:w="3434" w:type="dxa"/>
            <w:vAlign w:val="center"/>
          </w:tcPr>
          <w:p>
            <w:pPr>
              <w:spacing w:line="240" w:lineRule="atLeast"/>
              <w:jc w:val="left"/>
              <w:rPr>
                <w:bCs/>
                <w:szCs w:val="21"/>
              </w:rPr>
            </w:pPr>
            <w:r>
              <w:rPr>
                <w:rFonts w:hint="eastAsia"/>
                <w:bCs/>
                <w:szCs w:val="21"/>
              </w:rPr>
              <w:t>红外测油仪室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dxa"/>
            <w:vAlign w:val="center"/>
          </w:tcPr>
          <w:p>
            <w:pPr>
              <w:spacing w:line="240" w:lineRule="atLeast"/>
              <w:jc w:val="center"/>
              <w:rPr>
                <w:rFonts w:ascii="宋体" w:hAnsi="宋体" w:eastAsia="宋体"/>
                <w:bCs/>
                <w:szCs w:val="21"/>
              </w:rPr>
            </w:pPr>
            <w:r>
              <w:rPr>
                <w:rFonts w:hint="eastAsia" w:ascii="宋体" w:hAnsi="宋体" w:eastAsia="宋体"/>
                <w:bCs/>
                <w:szCs w:val="21"/>
              </w:rPr>
              <w:t>6</w:t>
            </w:r>
          </w:p>
        </w:tc>
        <w:tc>
          <w:tcPr>
            <w:tcW w:w="1005" w:type="dxa"/>
            <w:vAlign w:val="center"/>
          </w:tcPr>
          <w:p>
            <w:pPr>
              <w:spacing w:line="240" w:lineRule="atLeast"/>
              <w:jc w:val="center"/>
              <w:rPr>
                <w:rFonts w:ascii="宋体" w:hAnsi="宋体" w:eastAsia="宋体"/>
                <w:bCs/>
                <w:szCs w:val="21"/>
              </w:rPr>
            </w:pPr>
            <w:r>
              <w:rPr>
                <w:rFonts w:hint="eastAsia" w:ascii="宋体" w:hAnsi="宋体" w:eastAsia="宋体"/>
                <w:bCs/>
                <w:szCs w:val="21"/>
              </w:rPr>
              <w:t>悬浮物</w:t>
            </w:r>
          </w:p>
        </w:tc>
        <w:tc>
          <w:tcPr>
            <w:tcW w:w="5113" w:type="dxa"/>
            <w:vAlign w:val="center"/>
          </w:tcPr>
          <w:p>
            <w:pPr>
              <w:spacing w:line="240" w:lineRule="atLeast"/>
              <w:jc w:val="left"/>
              <w:rPr>
                <w:bCs/>
                <w:szCs w:val="21"/>
              </w:rPr>
            </w:pPr>
            <w:r>
              <w:rPr>
                <w:rFonts w:hint="eastAsia"/>
                <w:bCs/>
                <w:szCs w:val="21"/>
              </w:rPr>
              <w:t>水质 悬浮物的测定 重量法 GB/T 11901-1989</w:t>
            </w:r>
          </w:p>
        </w:tc>
        <w:tc>
          <w:tcPr>
            <w:tcW w:w="4026" w:type="dxa"/>
            <w:vAlign w:val="center"/>
          </w:tcPr>
          <w:p>
            <w:pPr>
              <w:spacing w:line="240" w:lineRule="atLeast"/>
              <w:jc w:val="left"/>
              <w:rPr>
                <w:bCs/>
                <w:szCs w:val="21"/>
              </w:rPr>
            </w:pPr>
            <w:r>
              <w:rPr>
                <w:rFonts w:hint="eastAsia"/>
                <w:bCs/>
                <w:szCs w:val="21"/>
              </w:rPr>
              <w:t>循环水式真空泵、微孔滤膜过滤器、烘箱、天平</w:t>
            </w:r>
          </w:p>
        </w:tc>
        <w:tc>
          <w:tcPr>
            <w:tcW w:w="3434" w:type="dxa"/>
            <w:vAlign w:val="center"/>
          </w:tcPr>
          <w:p>
            <w:pPr>
              <w:spacing w:line="240" w:lineRule="atLeast"/>
              <w:jc w:val="left"/>
              <w:rPr>
                <w:bCs/>
                <w:szCs w:val="21"/>
              </w:rPr>
            </w:pPr>
            <w:r>
              <w:rPr>
                <w:rFonts w:hint="eastAsia"/>
                <w:bCs/>
                <w:szCs w:val="21"/>
              </w:rPr>
              <w:t>前处理在理化分析室、烘干在干燥室、称重在天平间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dxa"/>
            <w:vMerge w:val="restart"/>
            <w:vAlign w:val="center"/>
          </w:tcPr>
          <w:p>
            <w:pPr>
              <w:spacing w:line="240" w:lineRule="atLeast"/>
              <w:jc w:val="center"/>
              <w:rPr>
                <w:rFonts w:ascii="宋体" w:hAnsi="宋体" w:eastAsia="宋体"/>
                <w:bCs/>
                <w:szCs w:val="21"/>
              </w:rPr>
            </w:pPr>
            <w:r>
              <w:rPr>
                <w:rFonts w:hint="eastAsia" w:ascii="宋体" w:hAnsi="宋体" w:eastAsia="宋体"/>
                <w:bCs/>
                <w:szCs w:val="21"/>
              </w:rPr>
              <w:t>7</w:t>
            </w:r>
          </w:p>
        </w:tc>
        <w:tc>
          <w:tcPr>
            <w:tcW w:w="1005" w:type="dxa"/>
            <w:vMerge w:val="restart"/>
            <w:vAlign w:val="center"/>
          </w:tcPr>
          <w:p>
            <w:pPr>
              <w:spacing w:line="240" w:lineRule="atLeast"/>
              <w:jc w:val="center"/>
              <w:rPr>
                <w:rFonts w:ascii="宋体" w:hAnsi="宋体" w:eastAsia="宋体"/>
                <w:bCs/>
                <w:szCs w:val="21"/>
              </w:rPr>
            </w:pPr>
            <w:r>
              <w:rPr>
                <w:rFonts w:hint="eastAsia"/>
                <w:bCs/>
                <w:szCs w:val="21"/>
              </w:rPr>
              <w:t>粪大肠菌群</w:t>
            </w:r>
          </w:p>
        </w:tc>
        <w:tc>
          <w:tcPr>
            <w:tcW w:w="5113" w:type="dxa"/>
            <w:vAlign w:val="center"/>
          </w:tcPr>
          <w:p>
            <w:pPr>
              <w:spacing w:line="240" w:lineRule="atLeast"/>
              <w:jc w:val="left"/>
              <w:rPr>
                <w:bCs/>
                <w:szCs w:val="21"/>
              </w:rPr>
            </w:pPr>
            <w:r>
              <w:rPr>
                <w:rFonts w:hint="eastAsia"/>
                <w:bCs/>
                <w:szCs w:val="21"/>
              </w:rPr>
              <w:t>水质 粪大肠菌群的测定 多管发酵法 HJ 347.2-2018</w:t>
            </w:r>
          </w:p>
        </w:tc>
        <w:tc>
          <w:tcPr>
            <w:tcW w:w="4026" w:type="dxa"/>
            <w:vAlign w:val="center"/>
          </w:tcPr>
          <w:p>
            <w:pPr>
              <w:spacing w:line="240" w:lineRule="atLeast"/>
              <w:jc w:val="left"/>
              <w:rPr>
                <w:bCs/>
                <w:szCs w:val="21"/>
              </w:rPr>
            </w:pPr>
            <w:r>
              <w:rPr>
                <w:rFonts w:hint="eastAsia"/>
                <w:bCs/>
                <w:szCs w:val="21"/>
              </w:rPr>
              <w:t>高压蒸汽灭菌锅、恒温培养箱两台</w:t>
            </w:r>
          </w:p>
        </w:tc>
        <w:tc>
          <w:tcPr>
            <w:tcW w:w="3434" w:type="dxa"/>
            <w:vAlign w:val="center"/>
          </w:tcPr>
          <w:p>
            <w:pPr>
              <w:spacing w:line="240" w:lineRule="atLeast"/>
              <w:jc w:val="left"/>
              <w:rPr>
                <w:bCs/>
                <w:szCs w:val="21"/>
              </w:rPr>
            </w:pPr>
            <w:r>
              <w:rPr>
                <w:rFonts w:hint="eastAsia"/>
                <w:bCs/>
                <w:szCs w:val="21"/>
              </w:rPr>
              <w:t>微生物室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dxa"/>
            <w:vMerge w:val="continue"/>
            <w:vAlign w:val="center"/>
          </w:tcPr>
          <w:p>
            <w:pPr>
              <w:spacing w:line="240" w:lineRule="atLeast"/>
              <w:jc w:val="center"/>
              <w:rPr>
                <w:rFonts w:ascii="宋体" w:hAnsi="宋体" w:eastAsia="宋体"/>
                <w:bCs/>
                <w:szCs w:val="21"/>
              </w:rPr>
            </w:pPr>
          </w:p>
        </w:tc>
        <w:tc>
          <w:tcPr>
            <w:tcW w:w="1005" w:type="dxa"/>
            <w:vMerge w:val="continue"/>
            <w:vAlign w:val="center"/>
          </w:tcPr>
          <w:p>
            <w:pPr>
              <w:spacing w:line="240" w:lineRule="atLeast"/>
              <w:jc w:val="center"/>
              <w:rPr>
                <w:rFonts w:ascii="宋体" w:hAnsi="宋体" w:eastAsia="宋体"/>
                <w:bCs/>
                <w:szCs w:val="21"/>
              </w:rPr>
            </w:pPr>
          </w:p>
        </w:tc>
        <w:tc>
          <w:tcPr>
            <w:tcW w:w="5113" w:type="dxa"/>
            <w:vAlign w:val="center"/>
          </w:tcPr>
          <w:p>
            <w:pPr>
              <w:spacing w:line="240" w:lineRule="atLeast"/>
              <w:jc w:val="left"/>
              <w:rPr>
                <w:bCs/>
                <w:szCs w:val="21"/>
              </w:rPr>
            </w:pPr>
            <w:r>
              <w:rPr>
                <w:rFonts w:hint="eastAsia"/>
                <w:bCs/>
                <w:szCs w:val="21"/>
              </w:rPr>
              <w:t>水质 粪大肠菌群的测定 滤膜法 HJ 347.1-2018</w:t>
            </w:r>
          </w:p>
        </w:tc>
        <w:tc>
          <w:tcPr>
            <w:tcW w:w="4026" w:type="dxa"/>
            <w:vAlign w:val="center"/>
          </w:tcPr>
          <w:p>
            <w:pPr>
              <w:spacing w:line="240" w:lineRule="atLeast"/>
              <w:jc w:val="left"/>
              <w:rPr>
                <w:bCs/>
                <w:szCs w:val="21"/>
              </w:rPr>
            </w:pPr>
            <w:r>
              <w:rPr>
                <w:rFonts w:hint="eastAsia"/>
                <w:bCs/>
                <w:szCs w:val="21"/>
              </w:rPr>
              <w:t>高压蒸汽灭菌锅、恒温培养箱两台、循环水式真空泵、微孔滤膜过滤器</w:t>
            </w:r>
          </w:p>
        </w:tc>
        <w:tc>
          <w:tcPr>
            <w:tcW w:w="3434" w:type="dxa"/>
            <w:vAlign w:val="center"/>
          </w:tcPr>
          <w:p>
            <w:pPr>
              <w:spacing w:line="240" w:lineRule="atLeast"/>
              <w:jc w:val="left"/>
              <w:rPr>
                <w:bCs/>
                <w:szCs w:val="21"/>
              </w:rPr>
            </w:pPr>
            <w:r>
              <w:rPr>
                <w:rFonts w:hint="eastAsia"/>
                <w:bCs/>
                <w:szCs w:val="21"/>
              </w:rPr>
              <w:t>微生物室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dxa"/>
            <w:vMerge w:val="continue"/>
            <w:vAlign w:val="center"/>
          </w:tcPr>
          <w:p>
            <w:pPr>
              <w:spacing w:line="240" w:lineRule="atLeast"/>
              <w:jc w:val="center"/>
              <w:rPr>
                <w:rFonts w:ascii="宋体" w:hAnsi="宋体" w:eastAsia="宋体"/>
                <w:bCs/>
                <w:szCs w:val="21"/>
              </w:rPr>
            </w:pPr>
          </w:p>
        </w:tc>
        <w:tc>
          <w:tcPr>
            <w:tcW w:w="1005" w:type="dxa"/>
            <w:vMerge w:val="continue"/>
            <w:vAlign w:val="center"/>
          </w:tcPr>
          <w:p>
            <w:pPr>
              <w:spacing w:line="240" w:lineRule="atLeast"/>
              <w:jc w:val="center"/>
              <w:rPr>
                <w:rFonts w:ascii="宋体" w:hAnsi="宋体" w:eastAsia="宋体"/>
                <w:bCs/>
                <w:szCs w:val="21"/>
              </w:rPr>
            </w:pPr>
          </w:p>
        </w:tc>
        <w:tc>
          <w:tcPr>
            <w:tcW w:w="5113" w:type="dxa"/>
            <w:vAlign w:val="center"/>
          </w:tcPr>
          <w:p>
            <w:pPr>
              <w:spacing w:line="240" w:lineRule="atLeast"/>
              <w:jc w:val="left"/>
              <w:rPr>
                <w:bCs/>
                <w:szCs w:val="21"/>
              </w:rPr>
            </w:pPr>
            <w:r>
              <w:rPr>
                <w:rFonts w:hint="eastAsia"/>
                <w:bCs/>
                <w:szCs w:val="21"/>
              </w:rPr>
              <w:t>水质 总大肠菌、粪大肠菌群和大肠埃希氏菌的测定 酶底物法 HJ 1001-2018</w:t>
            </w:r>
          </w:p>
        </w:tc>
        <w:tc>
          <w:tcPr>
            <w:tcW w:w="4026" w:type="dxa"/>
            <w:vAlign w:val="center"/>
          </w:tcPr>
          <w:p>
            <w:pPr>
              <w:spacing w:line="240" w:lineRule="atLeast"/>
              <w:jc w:val="left"/>
              <w:rPr>
                <w:bCs/>
                <w:szCs w:val="21"/>
              </w:rPr>
            </w:pPr>
            <w:r>
              <w:rPr>
                <w:rFonts w:hint="eastAsia"/>
                <w:bCs/>
                <w:szCs w:val="21"/>
              </w:rPr>
              <w:t>高压蒸汽灭菌锅、恒温培养箱两台</w:t>
            </w:r>
          </w:p>
        </w:tc>
        <w:tc>
          <w:tcPr>
            <w:tcW w:w="3434" w:type="dxa"/>
            <w:vAlign w:val="center"/>
          </w:tcPr>
          <w:p>
            <w:pPr>
              <w:spacing w:line="240" w:lineRule="atLeast"/>
              <w:jc w:val="left"/>
              <w:rPr>
                <w:bCs/>
                <w:szCs w:val="21"/>
              </w:rPr>
            </w:pPr>
            <w:r>
              <w:rPr>
                <w:rFonts w:hint="eastAsia"/>
                <w:bCs/>
                <w:szCs w:val="21"/>
              </w:rPr>
              <w:t>微生物室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dxa"/>
            <w:vMerge w:val="continue"/>
            <w:vAlign w:val="center"/>
          </w:tcPr>
          <w:p>
            <w:pPr>
              <w:spacing w:line="240" w:lineRule="atLeast"/>
              <w:jc w:val="center"/>
              <w:rPr>
                <w:rFonts w:ascii="宋体" w:hAnsi="宋体" w:eastAsia="宋体"/>
                <w:bCs/>
                <w:szCs w:val="21"/>
              </w:rPr>
            </w:pPr>
          </w:p>
        </w:tc>
        <w:tc>
          <w:tcPr>
            <w:tcW w:w="1005" w:type="dxa"/>
            <w:vMerge w:val="continue"/>
            <w:vAlign w:val="center"/>
          </w:tcPr>
          <w:p>
            <w:pPr>
              <w:spacing w:line="240" w:lineRule="atLeast"/>
              <w:jc w:val="center"/>
              <w:rPr>
                <w:rFonts w:ascii="宋体" w:hAnsi="宋体" w:eastAsia="宋体"/>
                <w:bCs/>
                <w:szCs w:val="21"/>
              </w:rPr>
            </w:pPr>
          </w:p>
        </w:tc>
        <w:tc>
          <w:tcPr>
            <w:tcW w:w="5113" w:type="dxa"/>
            <w:vAlign w:val="center"/>
          </w:tcPr>
          <w:p>
            <w:pPr>
              <w:spacing w:line="240" w:lineRule="atLeast"/>
              <w:jc w:val="left"/>
              <w:rPr>
                <w:bCs/>
                <w:szCs w:val="21"/>
              </w:rPr>
            </w:pPr>
            <w:r>
              <w:rPr>
                <w:rFonts w:hint="eastAsia"/>
                <w:bCs/>
                <w:szCs w:val="21"/>
              </w:rPr>
              <w:t>水质 总大肠菌群和粪大肠菌群的测定 纸片快速法</w:t>
            </w:r>
            <w:r>
              <w:rPr>
                <w:bCs/>
                <w:szCs w:val="21"/>
              </w:rPr>
              <w:t>HJ 755-2015</w:t>
            </w:r>
          </w:p>
        </w:tc>
        <w:tc>
          <w:tcPr>
            <w:tcW w:w="4026" w:type="dxa"/>
            <w:vAlign w:val="center"/>
          </w:tcPr>
          <w:p>
            <w:pPr>
              <w:spacing w:line="240" w:lineRule="atLeast"/>
              <w:jc w:val="left"/>
              <w:rPr>
                <w:bCs/>
                <w:szCs w:val="21"/>
              </w:rPr>
            </w:pPr>
            <w:r>
              <w:rPr>
                <w:rFonts w:hint="eastAsia"/>
                <w:bCs/>
                <w:szCs w:val="21"/>
              </w:rPr>
              <w:t>高压蒸汽灭菌锅、恒温培养箱两台</w:t>
            </w:r>
          </w:p>
        </w:tc>
        <w:tc>
          <w:tcPr>
            <w:tcW w:w="3434" w:type="dxa"/>
            <w:vAlign w:val="center"/>
          </w:tcPr>
          <w:p>
            <w:pPr>
              <w:spacing w:line="240" w:lineRule="atLeast"/>
              <w:jc w:val="left"/>
              <w:rPr>
                <w:bCs/>
                <w:szCs w:val="21"/>
              </w:rPr>
            </w:pPr>
            <w:r>
              <w:rPr>
                <w:rFonts w:hint="eastAsia"/>
                <w:bCs/>
                <w:szCs w:val="21"/>
              </w:rPr>
              <w:t>微生物室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dxa"/>
            <w:vMerge w:val="restart"/>
            <w:vAlign w:val="center"/>
          </w:tcPr>
          <w:p>
            <w:pPr>
              <w:spacing w:line="240" w:lineRule="atLeast"/>
              <w:jc w:val="center"/>
              <w:rPr>
                <w:rFonts w:ascii="宋体" w:hAnsi="宋体" w:eastAsia="宋体"/>
                <w:bCs/>
                <w:szCs w:val="21"/>
              </w:rPr>
            </w:pPr>
            <w:r>
              <w:rPr>
                <w:rFonts w:hint="eastAsia" w:ascii="宋体" w:hAnsi="宋体" w:eastAsia="宋体"/>
                <w:bCs/>
                <w:szCs w:val="21"/>
              </w:rPr>
              <w:t>8</w:t>
            </w:r>
          </w:p>
        </w:tc>
        <w:tc>
          <w:tcPr>
            <w:tcW w:w="1005" w:type="dxa"/>
            <w:vMerge w:val="restart"/>
            <w:vAlign w:val="center"/>
          </w:tcPr>
          <w:p>
            <w:pPr>
              <w:spacing w:line="240" w:lineRule="atLeast"/>
              <w:jc w:val="center"/>
              <w:rPr>
                <w:bCs/>
                <w:szCs w:val="21"/>
              </w:rPr>
            </w:pPr>
            <w:r>
              <w:rPr>
                <w:rFonts w:hint="eastAsia"/>
                <w:bCs/>
                <w:szCs w:val="21"/>
              </w:rPr>
              <w:t>总氮</w:t>
            </w:r>
          </w:p>
        </w:tc>
        <w:tc>
          <w:tcPr>
            <w:tcW w:w="5113" w:type="dxa"/>
            <w:vAlign w:val="center"/>
          </w:tcPr>
          <w:p>
            <w:pPr>
              <w:spacing w:line="240" w:lineRule="atLeast"/>
              <w:jc w:val="left"/>
              <w:rPr>
                <w:bCs/>
                <w:szCs w:val="21"/>
              </w:rPr>
            </w:pPr>
            <w:r>
              <w:rPr>
                <w:rFonts w:hint="eastAsia"/>
                <w:bCs/>
                <w:szCs w:val="21"/>
              </w:rPr>
              <w:t>水质 总氮的测定 碱性过硫酸钾消解 紫外分光光度法 HJ 636-2012</w:t>
            </w:r>
          </w:p>
        </w:tc>
        <w:tc>
          <w:tcPr>
            <w:tcW w:w="4026" w:type="dxa"/>
            <w:vAlign w:val="center"/>
          </w:tcPr>
          <w:p>
            <w:pPr>
              <w:spacing w:line="240" w:lineRule="atLeast"/>
              <w:jc w:val="left"/>
              <w:rPr>
                <w:bCs/>
                <w:szCs w:val="21"/>
              </w:rPr>
            </w:pPr>
            <w:r>
              <w:rPr>
                <w:rFonts w:hint="eastAsia"/>
                <w:bCs/>
                <w:szCs w:val="21"/>
              </w:rPr>
              <w:t>高压蒸汽灭菌锅、紫外分光光度计</w:t>
            </w:r>
          </w:p>
        </w:tc>
        <w:tc>
          <w:tcPr>
            <w:tcW w:w="3434" w:type="dxa"/>
            <w:vAlign w:val="center"/>
          </w:tcPr>
          <w:p>
            <w:pPr>
              <w:spacing w:line="240" w:lineRule="atLeast"/>
              <w:jc w:val="left"/>
              <w:rPr>
                <w:bCs/>
                <w:szCs w:val="21"/>
              </w:rPr>
            </w:pPr>
            <w:r>
              <w:rPr>
                <w:rFonts w:hint="eastAsia"/>
                <w:bCs/>
                <w:szCs w:val="21"/>
              </w:rPr>
              <w:t>前处理在理化分析室，比色在分光室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dxa"/>
            <w:vMerge w:val="continue"/>
            <w:vAlign w:val="center"/>
          </w:tcPr>
          <w:p>
            <w:pPr>
              <w:spacing w:line="240" w:lineRule="atLeast"/>
              <w:jc w:val="center"/>
              <w:rPr>
                <w:rFonts w:ascii="宋体" w:hAnsi="宋体" w:eastAsia="宋体"/>
                <w:bCs/>
                <w:szCs w:val="21"/>
              </w:rPr>
            </w:pPr>
          </w:p>
        </w:tc>
        <w:tc>
          <w:tcPr>
            <w:tcW w:w="1005" w:type="dxa"/>
            <w:vMerge w:val="continue"/>
            <w:vAlign w:val="center"/>
          </w:tcPr>
          <w:p>
            <w:pPr>
              <w:spacing w:line="240" w:lineRule="atLeast"/>
              <w:jc w:val="center"/>
              <w:rPr>
                <w:bCs/>
                <w:szCs w:val="21"/>
              </w:rPr>
            </w:pPr>
          </w:p>
        </w:tc>
        <w:tc>
          <w:tcPr>
            <w:tcW w:w="5113" w:type="dxa"/>
            <w:vAlign w:val="center"/>
          </w:tcPr>
          <w:p>
            <w:pPr>
              <w:spacing w:line="240" w:lineRule="atLeast"/>
              <w:jc w:val="left"/>
              <w:rPr>
                <w:bCs/>
                <w:szCs w:val="21"/>
              </w:rPr>
            </w:pPr>
            <w:r>
              <w:rPr>
                <w:rFonts w:hint="eastAsia"/>
                <w:bCs/>
                <w:szCs w:val="21"/>
              </w:rPr>
              <w:t xml:space="preserve">水质 总氮的测定 气相分子吸收光谱法 </w:t>
            </w:r>
            <w:r>
              <w:rPr>
                <w:bCs/>
                <w:szCs w:val="21"/>
              </w:rPr>
              <w:t>HJ/T 199-2005</w:t>
            </w:r>
          </w:p>
        </w:tc>
        <w:tc>
          <w:tcPr>
            <w:tcW w:w="4026" w:type="dxa"/>
            <w:vAlign w:val="center"/>
          </w:tcPr>
          <w:p>
            <w:pPr>
              <w:spacing w:line="240" w:lineRule="atLeast"/>
              <w:jc w:val="left"/>
              <w:rPr>
                <w:bCs/>
                <w:szCs w:val="21"/>
              </w:rPr>
            </w:pPr>
            <w:r>
              <w:rPr>
                <w:rFonts w:hint="eastAsia"/>
                <w:bCs/>
                <w:szCs w:val="21"/>
              </w:rPr>
              <w:t>气相分子吸收光谱仪</w:t>
            </w:r>
          </w:p>
        </w:tc>
        <w:tc>
          <w:tcPr>
            <w:tcW w:w="3434" w:type="dxa"/>
            <w:vAlign w:val="center"/>
          </w:tcPr>
          <w:p>
            <w:pPr>
              <w:spacing w:line="240" w:lineRule="atLeast"/>
              <w:jc w:val="left"/>
              <w:rPr>
                <w:bCs/>
                <w:szCs w:val="21"/>
              </w:rPr>
            </w:pPr>
            <w:r>
              <w:rPr>
                <w:rFonts w:hint="eastAsia"/>
                <w:bCs/>
                <w:szCs w:val="21"/>
              </w:rPr>
              <w:t>气相分子专用房间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6" w:type="dxa"/>
            <w:vMerge w:val="continue"/>
            <w:vAlign w:val="center"/>
          </w:tcPr>
          <w:p>
            <w:pPr>
              <w:spacing w:line="240" w:lineRule="atLeast"/>
              <w:jc w:val="center"/>
              <w:rPr>
                <w:rFonts w:ascii="宋体" w:hAnsi="宋体" w:eastAsia="宋体"/>
                <w:bCs/>
                <w:szCs w:val="21"/>
              </w:rPr>
            </w:pPr>
          </w:p>
        </w:tc>
        <w:tc>
          <w:tcPr>
            <w:tcW w:w="1005" w:type="dxa"/>
            <w:vMerge w:val="continue"/>
            <w:vAlign w:val="center"/>
          </w:tcPr>
          <w:p>
            <w:pPr>
              <w:spacing w:line="240" w:lineRule="atLeast"/>
              <w:jc w:val="center"/>
              <w:rPr>
                <w:bCs/>
                <w:szCs w:val="21"/>
              </w:rPr>
            </w:pPr>
          </w:p>
        </w:tc>
        <w:tc>
          <w:tcPr>
            <w:tcW w:w="5113" w:type="dxa"/>
            <w:vAlign w:val="center"/>
          </w:tcPr>
          <w:p>
            <w:pPr>
              <w:spacing w:line="240" w:lineRule="atLeast"/>
              <w:jc w:val="left"/>
              <w:rPr>
                <w:bCs/>
                <w:szCs w:val="21"/>
              </w:rPr>
            </w:pPr>
            <w:r>
              <w:rPr>
                <w:rFonts w:hint="eastAsia"/>
                <w:bCs/>
                <w:szCs w:val="21"/>
              </w:rPr>
              <w:t>水质 总氮的测定 连续流动-盐酸萘乙二胺分光光度法</w:t>
            </w:r>
            <w:r>
              <w:rPr>
                <w:bCs/>
                <w:szCs w:val="21"/>
              </w:rPr>
              <w:t>HJ 667-2013</w:t>
            </w:r>
          </w:p>
        </w:tc>
        <w:tc>
          <w:tcPr>
            <w:tcW w:w="4026" w:type="dxa"/>
            <w:vAlign w:val="center"/>
          </w:tcPr>
          <w:p>
            <w:pPr>
              <w:spacing w:line="240" w:lineRule="atLeast"/>
              <w:jc w:val="left"/>
              <w:rPr>
                <w:bCs/>
                <w:szCs w:val="21"/>
              </w:rPr>
            </w:pPr>
            <w:r>
              <w:rPr>
                <w:rFonts w:hint="eastAsia"/>
                <w:bCs/>
                <w:szCs w:val="21"/>
              </w:rPr>
              <w:t>连续流动仪</w:t>
            </w:r>
          </w:p>
        </w:tc>
        <w:tc>
          <w:tcPr>
            <w:tcW w:w="3434" w:type="dxa"/>
            <w:vAlign w:val="center"/>
          </w:tcPr>
          <w:p>
            <w:pPr>
              <w:spacing w:line="240" w:lineRule="atLeast"/>
              <w:jc w:val="left"/>
              <w:rPr>
                <w:bCs/>
                <w:szCs w:val="21"/>
              </w:rPr>
            </w:pPr>
            <w:r>
              <w:rPr>
                <w:rFonts w:hint="eastAsia"/>
                <w:bCs/>
                <w:szCs w:val="21"/>
              </w:rPr>
              <w:t>连续流动仪专用房间</w:t>
            </w:r>
          </w:p>
        </w:tc>
      </w:tr>
    </w:tbl>
    <w:p>
      <w:pPr>
        <w:spacing w:beforeLines="50" w:afterLines="50" w:line="360" w:lineRule="auto"/>
        <w:rPr>
          <w:rFonts w:ascii="黑体" w:hAnsi="黑体" w:eastAsia="黑体"/>
          <w:bCs/>
          <w:sz w:val="24"/>
        </w:rPr>
        <w:sectPr>
          <w:pgSz w:w="16838" w:h="11906" w:orient="landscape"/>
          <w:pgMar w:top="1800" w:right="1440" w:bottom="1800" w:left="1440" w:header="851" w:footer="992" w:gutter="0"/>
          <w:cols w:space="425" w:num="1"/>
          <w:docGrid w:type="lines" w:linePitch="312" w:charSpace="0"/>
        </w:sectPr>
      </w:pPr>
    </w:p>
    <w:p>
      <w:pPr>
        <w:pStyle w:val="2"/>
        <w:spacing w:before="0" w:after="0"/>
        <w:rPr>
          <w:rFonts w:ascii="黑体" w:hAnsi="黑体" w:eastAsia="黑体"/>
          <w:bCs/>
          <w:sz w:val="21"/>
          <w:szCs w:val="21"/>
        </w:rPr>
      </w:pPr>
      <w:bookmarkStart w:id="31" w:name="_Toc34083598"/>
      <w:r>
        <w:rPr>
          <w:rFonts w:hint="eastAsia" w:ascii="黑体" w:hAnsi="黑体" w:eastAsia="黑体"/>
          <w:bCs/>
          <w:sz w:val="21"/>
          <w:szCs w:val="21"/>
        </w:rPr>
        <w:t>8</w:t>
      </w:r>
      <w:r>
        <w:rPr>
          <w:rFonts w:ascii="黑体" w:hAnsi="黑体" w:eastAsia="黑体"/>
          <w:bCs/>
          <w:sz w:val="21"/>
          <w:szCs w:val="21"/>
        </w:rPr>
        <w:t xml:space="preserve">  </w:t>
      </w:r>
      <w:r>
        <w:rPr>
          <w:rFonts w:hint="eastAsia" w:ascii="黑体" w:hAnsi="黑体" w:eastAsia="黑体"/>
          <w:bCs/>
          <w:sz w:val="21"/>
          <w:szCs w:val="21"/>
        </w:rPr>
        <w:t>样品采样和保存运输</w:t>
      </w:r>
      <w:bookmarkEnd w:id="31"/>
    </w:p>
    <w:p>
      <w:pPr>
        <w:spacing w:line="576" w:lineRule="auto"/>
        <w:rPr>
          <w:rFonts w:ascii="黑体" w:hAnsi="黑体" w:eastAsia="黑体"/>
          <w:b/>
          <w:szCs w:val="21"/>
        </w:rPr>
      </w:pPr>
      <w:bookmarkStart w:id="32" w:name="_Toc34083599"/>
      <w:r>
        <w:rPr>
          <w:rFonts w:ascii="黑体" w:hAnsi="黑体" w:eastAsia="黑体"/>
          <w:b/>
          <w:szCs w:val="21"/>
        </w:rPr>
        <w:t>8.1  水样采集</w:t>
      </w:r>
      <w:bookmarkEnd w:id="32"/>
    </w:p>
    <w:p>
      <w:pPr>
        <w:spacing w:line="460" w:lineRule="exact"/>
        <w:rPr>
          <w:bCs/>
          <w:szCs w:val="21"/>
        </w:rPr>
      </w:pPr>
      <w:r>
        <w:rPr>
          <w:rFonts w:hint="eastAsia" w:ascii="黑体" w:hAnsi="黑体" w:eastAsia="黑体"/>
          <w:b/>
          <w:szCs w:val="21"/>
        </w:rPr>
        <w:t>8</w:t>
      </w:r>
      <w:r>
        <w:rPr>
          <w:rFonts w:ascii="黑体" w:hAnsi="黑体" w:eastAsia="黑体"/>
          <w:b/>
          <w:szCs w:val="21"/>
        </w:rPr>
        <w:t xml:space="preserve">.1.1  </w:t>
      </w:r>
      <w:r>
        <w:rPr>
          <w:rFonts w:hint="eastAsia"/>
          <w:bCs/>
          <w:szCs w:val="21"/>
        </w:rPr>
        <w:t>采样前准备</w:t>
      </w:r>
    </w:p>
    <w:p>
      <w:pPr>
        <w:spacing w:line="460" w:lineRule="exact"/>
        <w:ind w:firstLine="420"/>
        <w:rPr>
          <w:bCs/>
          <w:szCs w:val="21"/>
        </w:rPr>
      </w:pPr>
      <w:r>
        <w:rPr>
          <w:rFonts w:hint="eastAsia"/>
          <w:bCs/>
          <w:szCs w:val="21"/>
        </w:rPr>
        <w:t>a.确定采样负责人</w:t>
      </w:r>
    </w:p>
    <w:p>
      <w:pPr>
        <w:spacing w:line="460" w:lineRule="exact"/>
        <w:ind w:firstLine="420"/>
        <w:rPr>
          <w:bCs/>
          <w:szCs w:val="21"/>
        </w:rPr>
      </w:pPr>
      <w:r>
        <w:rPr>
          <w:rFonts w:hint="eastAsia"/>
          <w:bCs/>
          <w:szCs w:val="21"/>
        </w:rPr>
        <w:t>主要负责制定采样计划并组织实施。</w:t>
      </w:r>
    </w:p>
    <w:p>
      <w:pPr>
        <w:spacing w:line="460" w:lineRule="exact"/>
        <w:ind w:firstLine="420"/>
        <w:rPr>
          <w:bCs/>
          <w:szCs w:val="21"/>
        </w:rPr>
      </w:pPr>
      <w:r>
        <w:rPr>
          <w:rFonts w:hint="eastAsia"/>
          <w:bCs/>
          <w:szCs w:val="21"/>
        </w:rPr>
        <w:t>b.制定采样计划</w:t>
      </w:r>
    </w:p>
    <w:p>
      <w:pPr>
        <w:spacing w:line="460" w:lineRule="exact"/>
        <w:ind w:firstLine="420" w:firstLineChars="200"/>
        <w:rPr>
          <w:bCs/>
          <w:szCs w:val="21"/>
        </w:rPr>
      </w:pPr>
      <w:r>
        <w:rPr>
          <w:rFonts w:hint="eastAsia"/>
          <w:bCs/>
          <w:szCs w:val="21"/>
        </w:rPr>
        <w:t>采样负责人在制定计划前要充分了解该项监测任务的目的和要求；应对要采样的监测周围情况了解清楚；并熟悉采样方法、水样容器的洗涤、样品的保存技术。在有现场测定项目和任务时，还应了解有关现场测定技术。</w:t>
      </w:r>
    </w:p>
    <w:p>
      <w:pPr>
        <w:spacing w:line="460" w:lineRule="exact"/>
        <w:ind w:firstLine="420" w:firstLineChars="200"/>
        <w:rPr>
          <w:bCs/>
          <w:szCs w:val="21"/>
        </w:rPr>
      </w:pPr>
      <w:r>
        <w:rPr>
          <w:rFonts w:hint="eastAsia"/>
          <w:bCs/>
          <w:szCs w:val="21"/>
        </w:rPr>
        <w:t>采样计划应包括：确定的采样位置和采样点位、测定项目和数量、采样质量保证措施，采样时间和路线、采样员和分工、采样器材和交通工具以及需要进行的现场测定项目和安全保证等。</w:t>
      </w:r>
    </w:p>
    <w:p>
      <w:pPr>
        <w:spacing w:line="460" w:lineRule="exact"/>
        <w:ind w:firstLine="420" w:firstLineChars="200"/>
        <w:rPr>
          <w:bCs/>
          <w:szCs w:val="21"/>
        </w:rPr>
      </w:pPr>
      <w:r>
        <w:rPr>
          <w:rFonts w:hint="eastAsia"/>
          <w:bCs/>
          <w:szCs w:val="21"/>
        </w:rPr>
        <w:t>c.采样器材与现场测定仪器的准备</w:t>
      </w:r>
    </w:p>
    <w:p>
      <w:pPr>
        <w:spacing w:line="460" w:lineRule="exact"/>
        <w:ind w:firstLine="420" w:firstLineChars="200"/>
        <w:rPr>
          <w:bCs/>
          <w:szCs w:val="21"/>
        </w:rPr>
      </w:pPr>
      <w:r>
        <w:rPr>
          <w:rFonts w:hint="eastAsia"/>
          <w:bCs/>
          <w:szCs w:val="21"/>
        </w:rPr>
        <w:t>采样器材主要是采样器和水样容器。关于水样的保存、容器、体积、洗涤方法见表</w:t>
      </w:r>
      <w:r>
        <w:rPr>
          <w:bCs/>
          <w:szCs w:val="21"/>
        </w:rPr>
        <w:t>8</w:t>
      </w:r>
      <w:r>
        <w:rPr>
          <w:rFonts w:hint="eastAsia"/>
          <w:bCs/>
          <w:szCs w:val="21"/>
        </w:rPr>
        <w:t>-</w:t>
      </w:r>
      <w:r>
        <w:rPr>
          <w:bCs/>
          <w:szCs w:val="21"/>
        </w:rPr>
        <w:t>1</w:t>
      </w:r>
      <w:r>
        <w:rPr>
          <w:rFonts w:hint="eastAsia"/>
          <w:bCs/>
          <w:szCs w:val="21"/>
        </w:rPr>
        <w:t>。本表所列洗涤方法，系指对已用容器的一般洗涤方法。如新启用容器，则应事先作更充分的清洗。</w:t>
      </w:r>
    </w:p>
    <w:p>
      <w:pPr>
        <w:spacing w:line="460" w:lineRule="exact"/>
        <w:ind w:firstLine="420" w:firstLineChars="200"/>
        <w:rPr>
          <w:bCs/>
          <w:szCs w:val="21"/>
        </w:rPr>
      </w:pPr>
      <w:r>
        <w:rPr>
          <w:rFonts w:hint="eastAsia"/>
          <w:bCs/>
          <w:szCs w:val="21"/>
        </w:rPr>
        <w:t>采样器的材质和结构应符合《水质采样器技术要求》中的规定。</w:t>
      </w:r>
    </w:p>
    <w:p>
      <w:pPr>
        <w:spacing w:line="324" w:lineRule="auto"/>
        <w:ind w:firstLine="420"/>
        <w:jc w:val="center"/>
        <w:rPr>
          <w:bCs/>
          <w:szCs w:val="21"/>
        </w:rPr>
      </w:pPr>
      <w:r>
        <w:rPr>
          <w:rFonts w:hint="eastAsia"/>
          <w:bCs/>
          <w:szCs w:val="21"/>
        </w:rPr>
        <w:t>表</w:t>
      </w:r>
      <w:r>
        <w:rPr>
          <w:bCs/>
          <w:szCs w:val="21"/>
        </w:rPr>
        <w:t>8</w:t>
      </w:r>
      <w:r>
        <w:rPr>
          <w:rFonts w:hint="eastAsia"/>
          <w:bCs/>
          <w:szCs w:val="21"/>
        </w:rPr>
        <w:t>-</w:t>
      </w:r>
      <w:r>
        <w:rPr>
          <w:bCs/>
          <w:szCs w:val="21"/>
        </w:rPr>
        <w:t>1</w:t>
      </w:r>
      <w:r>
        <w:rPr>
          <w:rFonts w:hint="eastAsia"/>
          <w:bCs/>
          <w:szCs w:val="21"/>
        </w:rPr>
        <w:t xml:space="preserve"> 水样的保存、容器、体积、洗涤方法</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992"/>
        <w:gridCol w:w="3119"/>
        <w:gridCol w:w="1276"/>
        <w:gridCol w:w="992"/>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324" w:lineRule="auto"/>
              <w:jc w:val="center"/>
              <w:rPr>
                <w:bCs/>
                <w:szCs w:val="21"/>
              </w:rPr>
            </w:pPr>
            <w:r>
              <w:rPr>
                <w:rFonts w:hint="eastAsia"/>
                <w:bCs/>
                <w:szCs w:val="21"/>
              </w:rPr>
              <w:t>项目</w:t>
            </w:r>
          </w:p>
        </w:tc>
        <w:tc>
          <w:tcPr>
            <w:tcW w:w="992" w:type="dxa"/>
            <w:vAlign w:val="center"/>
          </w:tcPr>
          <w:p>
            <w:pPr>
              <w:spacing w:line="324" w:lineRule="auto"/>
              <w:jc w:val="center"/>
              <w:rPr>
                <w:bCs/>
                <w:szCs w:val="21"/>
              </w:rPr>
            </w:pPr>
            <w:r>
              <w:rPr>
                <w:rFonts w:hint="eastAsia"/>
                <w:bCs/>
                <w:szCs w:val="21"/>
              </w:rPr>
              <w:t>采样容器</w:t>
            </w:r>
          </w:p>
        </w:tc>
        <w:tc>
          <w:tcPr>
            <w:tcW w:w="3119" w:type="dxa"/>
            <w:vAlign w:val="center"/>
          </w:tcPr>
          <w:p>
            <w:pPr>
              <w:spacing w:line="324" w:lineRule="auto"/>
              <w:jc w:val="center"/>
              <w:rPr>
                <w:bCs/>
                <w:szCs w:val="21"/>
              </w:rPr>
            </w:pPr>
            <w:r>
              <w:rPr>
                <w:rFonts w:hint="eastAsia"/>
                <w:bCs/>
                <w:szCs w:val="21"/>
              </w:rPr>
              <w:t>保存剂用量/保存条件</w:t>
            </w:r>
          </w:p>
        </w:tc>
        <w:tc>
          <w:tcPr>
            <w:tcW w:w="1276" w:type="dxa"/>
            <w:vAlign w:val="center"/>
          </w:tcPr>
          <w:p>
            <w:pPr>
              <w:spacing w:line="324" w:lineRule="auto"/>
              <w:jc w:val="center"/>
              <w:rPr>
                <w:bCs/>
                <w:szCs w:val="21"/>
              </w:rPr>
            </w:pPr>
            <w:r>
              <w:rPr>
                <w:rFonts w:hint="eastAsia"/>
                <w:bCs/>
                <w:szCs w:val="21"/>
              </w:rPr>
              <w:t>保存期</w:t>
            </w:r>
          </w:p>
        </w:tc>
        <w:tc>
          <w:tcPr>
            <w:tcW w:w="992" w:type="dxa"/>
            <w:vAlign w:val="center"/>
          </w:tcPr>
          <w:p>
            <w:pPr>
              <w:spacing w:line="324" w:lineRule="auto"/>
              <w:jc w:val="center"/>
              <w:rPr>
                <w:bCs/>
                <w:szCs w:val="21"/>
              </w:rPr>
            </w:pPr>
            <w:r>
              <w:rPr>
                <w:rFonts w:hint="eastAsia"/>
                <w:bCs/>
                <w:szCs w:val="21"/>
              </w:rPr>
              <w:t>采样量</w:t>
            </w:r>
            <w:r>
              <w:rPr>
                <w:rFonts w:hint="eastAsia"/>
                <w:bCs/>
                <w:szCs w:val="21"/>
                <w:vertAlign w:val="superscript"/>
              </w:rPr>
              <w:t>①</w:t>
            </w:r>
          </w:p>
          <w:p>
            <w:pPr>
              <w:spacing w:line="324" w:lineRule="auto"/>
              <w:jc w:val="center"/>
              <w:rPr>
                <w:bCs/>
                <w:szCs w:val="21"/>
              </w:rPr>
            </w:pPr>
            <w:r>
              <w:rPr>
                <w:bCs/>
                <w:szCs w:val="21"/>
              </w:rPr>
              <w:t>(ml)</w:t>
            </w:r>
          </w:p>
        </w:tc>
        <w:tc>
          <w:tcPr>
            <w:tcW w:w="759" w:type="dxa"/>
            <w:vAlign w:val="center"/>
          </w:tcPr>
          <w:p>
            <w:pPr>
              <w:spacing w:line="324" w:lineRule="auto"/>
              <w:jc w:val="center"/>
              <w:rPr>
                <w:bCs/>
                <w:szCs w:val="21"/>
              </w:rPr>
            </w:pPr>
            <w:r>
              <w:rPr>
                <w:rFonts w:hint="eastAsia"/>
                <w:bCs/>
                <w:szCs w:val="21"/>
              </w:rPr>
              <w:t>容器洗涤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324" w:lineRule="auto"/>
              <w:jc w:val="center"/>
              <w:rPr>
                <w:bCs/>
                <w:szCs w:val="21"/>
              </w:rPr>
            </w:pPr>
            <w:r>
              <w:rPr>
                <w:rFonts w:hint="eastAsia"/>
                <w:bCs/>
                <w:szCs w:val="21"/>
              </w:rPr>
              <w:t>p</w:t>
            </w:r>
            <w:r>
              <w:rPr>
                <w:bCs/>
                <w:szCs w:val="21"/>
              </w:rPr>
              <w:t>H</w:t>
            </w:r>
            <w:r>
              <w:rPr>
                <w:rFonts w:hint="eastAsia"/>
                <w:bCs/>
                <w:szCs w:val="21"/>
              </w:rPr>
              <w:t>值*</w:t>
            </w:r>
          </w:p>
        </w:tc>
        <w:tc>
          <w:tcPr>
            <w:tcW w:w="992" w:type="dxa"/>
            <w:vAlign w:val="center"/>
          </w:tcPr>
          <w:p>
            <w:pPr>
              <w:spacing w:line="324" w:lineRule="auto"/>
              <w:jc w:val="center"/>
              <w:rPr>
                <w:bCs/>
                <w:szCs w:val="21"/>
              </w:rPr>
            </w:pPr>
            <w:r>
              <w:rPr>
                <w:bCs/>
                <w:szCs w:val="21"/>
              </w:rPr>
              <w:t>G.P</w:t>
            </w:r>
          </w:p>
        </w:tc>
        <w:tc>
          <w:tcPr>
            <w:tcW w:w="3119" w:type="dxa"/>
            <w:vAlign w:val="center"/>
          </w:tcPr>
          <w:p>
            <w:pPr>
              <w:spacing w:line="324" w:lineRule="auto"/>
              <w:jc w:val="center"/>
              <w:rPr>
                <w:bCs/>
                <w:szCs w:val="21"/>
              </w:rPr>
            </w:pPr>
            <w:r>
              <w:rPr>
                <w:rFonts w:hint="eastAsia"/>
                <w:bCs/>
                <w:szCs w:val="21"/>
              </w:rPr>
              <w:t>0℃～4℃</w:t>
            </w:r>
          </w:p>
        </w:tc>
        <w:tc>
          <w:tcPr>
            <w:tcW w:w="1276" w:type="dxa"/>
            <w:vAlign w:val="center"/>
          </w:tcPr>
          <w:p>
            <w:pPr>
              <w:spacing w:line="324" w:lineRule="auto"/>
              <w:jc w:val="center"/>
              <w:rPr>
                <w:bCs/>
                <w:szCs w:val="21"/>
              </w:rPr>
            </w:pPr>
            <w:r>
              <w:rPr>
                <w:bCs/>
                <w:szCs w:val="21"/>
              </w:rPr>
              <w:t>6</w:t>
            </w:r>
            <w:r>
              <w:rPr>
                <w:rFonts w:hint="eastAsia"/>
                <w:bCs/>
                <w:szCs w:val="21"/>
              </w:rPr>
              <w:t>h</w:t>
            </w:r>
          </w:p>
        </w:tc>
        <w:tc>
          <w:tcPr>
            <w:tcW w:w="992" w:type="dxa"/>
            <w:vAlign w:val="center"/>
          </w:tcPr>
          <w:p>
            <w:pPr>
              <w:spacing w:line="324" w:lineRule="auto"/>
              <w:jc w:val="center"/>
              <w:rPr>
                <w:bCs/>
                <w:szCs w:val="21"/>
              </w:rPr>
            </w:pPr>
            <w:r>
              <w:rPr>
                <w:rFonts w:hint="eastAsia"/>
                <w:bCs/>
                <w:szCs w:val="21"/>
              </w:rPr>
              <w:t>2</w:t>
            </w:r>
            <w:r>
              <w:rPr>
                <w:bCs/>
                <w:szCs w:val="21"/>
              </w:rPr>
              <w:t>50</w:t>
            </w:r>
          </w:p>
        </w:tc>
        <w:tc>
          <w:tcPr>
            <w:tcW w:w="759" w:type="dxa"/>
            <w:vAlign w:val="center"/>
          </w:tcPr>
          <w:p>
            <w:pPr>
              <w:spacing w:line="324" w:lineRule="auto"/>
              <w:jc w:val="center"/>
              <w:rPr>
                <w:bCs/>
                <w:szCs w:val="21"/>
              </w:rPr>
            </w:pPr>
            <w:r>
              <w:rPr>
                <w:rFonts w:hint="eastAsia"/>
                <w:bCs/>
                <w:szCs w:val="21"/>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324" w:lineRule="auto"/>
              <w:jc w:val="center"/>
              <w:rPr>
                <w:bCs/>
                <w:szCs w:val="21"/>
              </w:rPr>
            </w:pPr>
            <w:r>
              <w:rPr>
                <w:rFonts w:hint="eastAsia"/>
                <w:bCs/>
                <w:szCs w:val="21"/>
              </w:rPr>
              <w:t>氨氮</w:t>
            </w:r>
          </w:p>
        </w:tc>
        <w:tc>
          <w:tcPr>
            <w:tcW w:w="992" w:type="dxa"/>
            <w:vAlign w:val="center"/>
          </w:tcPr>
          <w:p>
            <w:pPr>
              <w:spacing w:line="324" w:lineRule="auto"/>
              <w:jc w:val="center"/>
              <w:rPr>
                <w:bCs/>
                <w:szCs w:val="21"/>
              </w:rPr>
            </w:pPr>
            <w:r>
              <w:rPr>
                <w:bCs/>
                <w:szCs w:val="21"/>
              </w:rPr>
              <w:t>G.P</w:t>
            </w:r>
          </w:p>
        </w:tc>
        <w:tc>
          <w:tcPr>
            <w:tcW w:w="3119" w:type="dxa"/>
            <w:vAlign w:val="center"/>
          </w:tcPr>
          <w:p>
            <w:pPr>
              <w:spacing w:line="324" w:lineRule="auto"/>
              <w:jc w:val="center"/>
              <w:rPr>
                <w:bCs/>
                <w:szCs w:val="21"/>
              </w:rPr>
            </w:pPr>
            <w:r>
              <w:rPr>
                <w:rFonts w:hint="eastAsia"/>
                <w:bCs/>
                <w:szCs w:val="21"/>
              </w:rPr>
              <w:t>加入H</w:t>
            </w:r>
            <w:r>
              <w:rPr>
                <w:rFonts w:hint="eastAsia"/>
                <w:bCs/>
                <w:szCs w:val="21"/>
                <w:vertAlign w:val="subscript"/>
              </w:rPr>
              <w:t>2</w:t>
            </w:r>
            <w:r>
              <w:rPr>
                <w:rFonts w:hint="eastAsia"/>
                <w:bCs/>
                <w:szCs w:val="21"/>
              </w:rPr>
              <w:t>SO</w:t>
            </w:r>
            <w:r>
              <w:rPr>
                <w:rFonts w:hint="eastAsia"/>
                <w:bCs/>
                <w:szCs w:val="21"/>
                <w:vertAlign w:val="subscript"/>
              </w:rPr>
              <w:t>4</w:t>
            </w:r>
            <w:r>
              <w:rPr>
                <w:rFonts w:hint="eastAsia"/>
                <w:bCs/>
                <w:szCs w:val="21"/>
              </w:rPr>
              <w:t>，至pH＜2，</w:t>
            </w:r>
            <w:r>
              <w:rPr>
                <w:bCs/>
                <w:szCs w:val="21"/>
              </w:rPr>
              <w:t>2</w:t>
            </w:r>
            <w:r>
              <w:rPr>
                <w:rFonts w:hint="eastAsia"/>
                <w:bCs/>
                <w:szCs w:val="21"/>
              </w:rPr>
              <w:t>℃～</w:t>
            </w:r>
            <w:r>
              <w:rPr>
                <w:bCs/>
                <w:szCs w:val="21"/>
              </w:rPr>
              <w:t>5</w:t>
            </w:r>
            <w:r>
              <w:rPr>
                <w:rFonts w:hint="eastAsia"/>
                <w:bCs/>
                <w:szCs w:val="21"/>
              </w:rPr>
              <w:t>℃</w:t>
            </w:r>
          </w:p>
        </w:tc>
        <w:tc>
          <w:tcPr>
            <w:tcW w:w="1276" w:type="dxa"/>
            <w:vAlign w:val="center"/>
          </w:tcPr>
          <w:p>
            <w:pPr>
              <w:spacing w:line="324" w:lineRule="auto"/>
              <w:jc w:val="center"/>
              <w:rPr>
                <w:bCs/>
                <w:szCs w:val="21"/>
              </w:rPr>
            </w:pPr>
            <w:r>
              <w:rPr>
                <w:bCs/>
                <w:szCs w:val="21"/>
              </w:rPr>
              <w:t>7</w:t>
            </w:r>
            <w:r>
              <w:rPr>
                <w:rFonts w:hint="eastAsia"/>
                <w:bCs/>
                <w:szCs w:val="21"/>
              </w:rPr>
              <w:t>d</w:t>
            </w:r>
          </w:p>
        </w:tc>
        <w:tc>
          <w:tcPr>
            <w:tcW w:w="992" w:type="dxa"/>
            <w:vAlign w:val="center"/>
          </w:tcPr>
          <w:p>
            <w:pPr>
              <w:spacing w:line="324" w:lineRule="auto"/>
              <w:jc w:val="center"/>
              <w:rPr>
                <w:bCs/>
                <w:szCs w:val="21"/>
              </w:rPr>
            </w:pPr>
            <w:r>
              <w:rPr>
                <w:rFonts w:hint="eastAsia"/>
                <w:bCs/>
                <w:szCs w:val="21"/>
              </w:rPr>
              <w:t>2</w:t>
            </w:r>
            <w:r>
              <w:rPr>
                <w:bCs/>
                <w:szCs w:val="21"/>
              </w:rPr>
              <w:t>50</w:t>
            </w:r>
          </w:p>
        </w:tc>
        <w:tc>
          <w:tcPr>
            <w:tcW w:w="759" w:type="dxa"/>
            <w:vAlign w:val="center"/>
          </w:tcPr>
          <w:p>
            <w:pPr>
              <w:spacing w:line="324" w:lineRule="auto"/>
              <w:jc w:val="center"/>
              <w:rPr>
                <w:bCs/>
                <w:szCs w:val="21"/>
              </w:rPr>
            </w:pPr>
            <w:r>
              <w:rPr>
                <w:rFonts w:hint="eastAsia"/>
                <w:bCs/>
                <w:szCs w:val="21"/>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restart"/>
            <w:vAlign w:val="center"/>
          </w:tcPr>
          <w:p>
            <w:pPr>
              <w:spacing w:line="324" w:lineRule="auto"/>
              <w:jc w:val="center"/>
              <w:rPr>
                <w:bCs/>
                <w:szCs w:val="21"/>
              </w:rPr>
            </w:pPr>
            <w:r>
              <w:rPr>
                <w:rFonts w:hint="eastAsia"/>
                <w:bCs/>
                <w:szCs w:val="21"/>
              </w:rPr>
              <w:t>总磷</w:t>
            </w:r>
          </w:p>
        </w:tc>
        <w:tc>
          <w:tcPr>
            <w:tcW w:w="992" w:type="dxa"/>
            <w:vMerge w:val="restart"/>
            <w:vAlign w:val="center"/>
          </w:tcPr>
          <w:p>
            <w:pPr>
              <w:spacing w:line="324" w:lineRule="auto"/>
              <w:jc w:val="center"/>
              <w:rPr>
                <w:bCs/>
                <w:szCs w:val="21"/>
              </w:rPr>
            </w:pPr>
            <w:r>
              <w:rPr>
                <w:rFonts w:hint="eastAsia"/>
                <w:bCs/>
                <w:szCs w:val="21"/>
              </w:rPr>
              <w:t>G</w:t>
            </w:r>
          </w:p>
        </w:tc>
        <w:tc>
          <w:tcPr>
            <w:tcW w:w="3119" w:type="dxa"/>
            <w:vAlign w:val="center"/>
          </w:tcPr>
          <w:p>
            <w:pPr>
              <w:spacing w:line="324" w:lineRule="auto"/>
              <w:jc w:val="center"/>
              <w:rPr>
                <w:bCs/>
                <w:szCs w:val="21"/>
              </w:rPr>
            </w:pPr>
            <w:r>
              <w:rPr>
                <w:rFonts w:hint="eastAsia"/>
                <w:bCs/>
                <w:szCs w:val="21"/>
              </w:rPr>
              <w:t>加入H</w:t>
            </w:r>
            <w:r>
              <w:rPr>
                <w:rFonts w:hint="eastAsia"/>
                <w:bCs/>
                <w:szCs w:val="21"/>
                <w:vertAlign w:val="subscript"/>
              </w:rPr>
              <w:t>2</w:t>
            </w:r>
            <w:r>
              <w:rPr>
                <w:rFonts w:hint="eastAsia"/>
                <w:bCs/>
                <w:szCs w:val="21"/>
              </w:rPr>
              <w:t>SO</w:t>
            </w:r>
            <w:r>
              <w:rPr>
                <w:rFonts w:hint="eastAsia"/>
                <w:bCs/>
                <w:szCs w:val="21"/>
                <w:vertAlign w:val="subscript"/>
              </w:rPr>
              <w:t>4</w:t>
            </w:r>
            <w:r>
              <w:rPr>
                <w:rFonts w:hint="eastAsia"/>
                <w:bCs/>
                <w:szCs w:val="21"/>
              </w:rPr>
              <w:t>，至pH≤1</w:t>
            </w:r>
          </w:p>
        </w:tc>
        <w:tc>
          <w:tcPr>
            <w:tcW w:w="1276" w:type="dxa"/>
            <w:vMerge w:val="restart"/>
            <w:vAlign w:val="center"/>
          </w:tcPr>
          <w:p>
            <w:pPr>
              <w:spacing w:line="324" w:lineRule="auto"/>
              <w:jc w:val="center"/>
              <w:rPr>
                <w:bCs/>
                <w:szCs w:val="21"/>
              </w:rPr>
            </w:pPr>
            <w:r>
              <w:rPr>
                <w:rFonts w:hint="eastAsia"/>
                <w:bCs/>
                <w:szCs w:val="21"/>
              </w:rPr>
              <w:t>2</w:t>
            </w:r>
            <w:r>
              <w:rPr>
                <w:bCs/>
                <w:szCs w:val="21"/>
              </w:rPr>
              <w:t>4</w:t>
            </w:r>
            <w:r>
              <w:rPr>
                <w:rFonts w:hint="eastAsia"/>
                <w:bCs/>
                <w:szCs w:val="21"/>
              </w:rPr>
              <w:t>h</w:t>
            </w:r>
          </w:p>
        </w:tc>
        <w:tc>
          <w:tcPr>
            <w:tcW w:w="992" w:type="dxa"/>
            <w:vMerge w:val="restart"/>
            <w:vAlign w:val="center"/>
          </w:tcPr>
          <w:p>
            <w:pPr>
              <w:spacing w:line="324" w:lineRule="auto"/>
              <w:jc w:val="center"/>
              <w:rPr>
                <w:bCs/>
                <w:szCs w:val="21"/>
              </w:rPr>
            </w:pPr>
            <w:r>
              <w:rPr>
                <w:bCs/>
                <w:szCs w:val="21"/>
              </w:rPr>
              <w:t>500</w:t>
            </w:r>
          </w:p>
        </w:tc>
        <w:tc>
          <w:tcPr>
            <w:tcW w:w="759" w:type="dxa"/>
            <w:vMerge w:val="restart"/>
            <w:vAlign w:val="center"/>
          </w:tcPr>
          <w:p>
            <w:pPr>
              <w:spacing w:line="324" w:lineRule="auto"/>
              <w:jc w:val="center"/>
              <w:rPr>
                <w:bCs/>
                <w:szCs w:val="21"/>
              </w:rPr>
            </w:pPr>
            <w:r>
              <w:rPr>
                <w:rFonts w:hint="eastAsia"/>
                <w:bCs/>
                <w:szCs w:val="21"/>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continue"/>
            <w:vAlign w:val="center"/>
          </w:tcPr>
          <w:p>
            <w:pPr>
              <w:spacing w:line="324" w:lineRule="auto"/>
              <w:jc w:val="center"/>
              <w:rPr>
                <w:bCs/>
                <w:szCs w:val="21"/>
              </w:rPr>
            </w:pPr>
          </w:p>
        </w:tc>
        <w:tc>
          <w:tcPr>
            <w:tcW w:w="992" w:type="dxa"/>
            <w:vMerge w:val="continue"/>
            <w:vAlign w:val="center"/>
          </w:tcPr>
          <w:p>
            <w:pPr>
              <w:spacing w:line="324" w:lineRule="auto"/>
              <w:jc w:val="center"/>
              <w:rPr>
                <w:bCs/>
                <w:szCs w:val="21"/>
              </w:rPr>
            </w:pPr>
          </w:p>
        </w:tc>
        <w:tc>
          <w:tcPr>
            <w:tcW w:w="3119" w:type="dxa"/>
            <w:vAlign w:val="center"/>
          </w:tcPr>
          <w:p>
            <w:pPr>
              <w:spacing w:line="324" w:lineRule="auto"/>
              <w:jc w:val="center"/>
              <w:rPr>
                <w:bCs/>
                <w:szCs w:val="21"/>
              </w:rPr>
            </w:pPr>
            <w:r>
              <w:rPr>
                <w:rFonts w:hint="eastAsia"/>
                <w:bCs/>
                <w:szCs w:val="21"/>
              </w:rPr>
              <w:t>0℃～</w:t>
            </w:r>
            <w:r>
              <w:rPr>
                <w:bCs/>
                <w:szCs w:val="21"/>
              </w:rPr>
              <w:t>5</w:t>
            </w:r>
            <w:r>
              <w:rPr>
                <w:rFonts w:hint="eastAsia"/>
                <w:bCs/>
                <w:szCs w:val="21"/>
              </w:rPr>
              <w:t>℃,避光保存</w:t>
            </w:r>
          </w:p>
        </w:tc>
        <w:tc>
          <w:tcPr>
            <w:tcW w:w="1276" w:type="dxa"/>
            <w:vMerge w:val="continue"/>
            <w:vAlign w:val="center"/>
          </w:tcPr>
          <w:p>
            <w:pPr>
              <w:spacing w:line="324" w:lineRule="auto"/>
              <w:jc w:val="center"/>
              <w:rPr>
                <w:bCs/>
                <w:szCs w:val="21"/>
              </w:rPr>
            </w:pPr>
          </w:p>
        </w:tc>
        <w:tc>
          <w:tcPr>
            <w:tcW w:w="992" w:type="dxa"/>
            <w:vMerge w:val="continue"/>
            <w:vAlign w:val="center"/>
          </w:tcPr>
          <w:p>
            <w:pPr>
              <w:spacing w:line="324" w:lineRule="auto"/>
              <w:jc w:val="center"/>
              <w:rPr>
                <w:bCs/>
                <w:szCs w:val="21"/>
              </w:rPr>
            </w:pPr>
          </w:p>
        </w:tc>
        <w:tc>
          <w:tcPr>
            <w:tcW w:w="759" w:type="dxa"/>
            <w:vMerge w:val="continue"/>
            <w:vAlign w:val="center"/>
          </w:tcPr>
          <w:p>
            <w:pPr>
              <w:spacing w:line="324" w:lineRule="auto"/>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continue"/>
            <w:vAlign w:val="center"/>
          </w:tcPr>
          <w:p>
            <w:pPr>
              <w:spacing w:line="324" w:lineRule="auto"/>
              <w:jc w:val="center"/>
              <w:rPr>
                <w:bCs/>
                <w:szCs w:val="21"/>
              </w:rPr>
            </w:pPr>
          </w:p>
        </w:tc>
        <w:tc>
          <w:tcPr>
            <w:tcW w:w="992" w:type="dxa"/>
            <w:vAlign w:val="center"/>
          </w:tcPr>
          <w:p>
            <w:pPr>
              <w:spacing w:line="324" w:lineRule="auto"/>
              <w:jc w:val="center"/>
              <w:rPr>
                <w:bCs/>
                <w:szCs w:val="21"/>
              </w:rPr>
            </w:pPr>
            <w:r>
              <w:rPr>
                <w:rFonts w:hint="eastAsia"/>
                <w:bCs/>
                <w:szCs w:val="21"/>
              </w:rPr>
              <w:t>P</w:t>
            </w:r>
          </w:p>
        </w:tc>
        <w:tc>
          <w:tcPr>
            <w:tcW w:w="3119" w:type="dxa"/>
            <w:vAlign w:val="center"/>
          </w:tcPr>
          <w:p>
            <w:pPr>
              <w:spacing w:line="324" w:lineRule="auto"/>
              <w:jc w:val="center"/>
              <w:rPr>
                <w:bCs/>
                <w:szCs w:val="21"/>
              </w:rPr>
            </w:pPr>
            <w:r>
              <w:rPr>
                <w:rFonts w:hint="eastAsia"/>
                <w:bCs/>
                <w:szCs w:val="21"/>
              </w:rPr>
              <w:t>-</w:t>
            </w:r>
            <w:r>
              <w:rPr>
                <w:bCs/>
                <w:szCs w:val="21"/>
              </w:rPr>
              <w:t>20</w:t>
            </w:r>
            <w:r>
              <w:rPr>
                <w:rFonts w:hint="eastAsia"/>
                <w:bCs/>
                <w:szCs w:val="21"/>
              </w:rPr>
              <w:t>℃冷冻</w:t>
            </w:r>
          </w:p>
        </w:tc>
        <w:tc>
          <w:tcPr>
            <w:tcW w:w="1276" w:type="dxa"/>
            <w:vAlign w:val="center"/>
          </w:tcPr>
          <w:p>
            <w:pPr>
              <w:spacing w:line="324" w:lineRule="auto"/>
              <w:jc w:val="center"/>
              <w:rPr>
                <w:bCs/>
                <w:szCs w:val="21"/>
              </w:rPr>
            </w:pPr>
            <w:r>
              <w:rPr>
                <w:rFonts w:hint="eastAsia"/>
                <w:bCs/>
                <w:szCs w:val="21"/>
              </w:rPr>
              <w:t>3</w:t>
            </w:r>
            <w:r>
              <w:rPr>
                <w:bCs/>
                <w:szCs w:val="21"/>
              </w:rPr>
              <w:t>0</w:t>
            </w:r>
            <w:r>
              <w:rPr>
                <w:rFonts w:hint="eastAsia"/>
                <w:bCs/>
                <w:szCs w:val="21"/>
              </w:rPr>
              <w:t>d</w:t>
            </w:r>
          </w:p>
        </w:tc>
        <w:tc>
          <w:tcPr>
            <w:tcW w:w="992" w:type="dxa"/>
            <w:vAlign w:val="center"/>
          </w:tcPr>
          <w:p>
            <w:pPr>
              <w:spacing w:line="324" w:lineRule="auto"/>
              <w:jc w:val="center"/>
              <w:rPr>
                <w:bCs/>
                <w:szCs w:val="21"/>
              </w:rPr>
            </w:pPr>
            <w:r>
              <w:rPr>
                <w:rFonts w:hint="eastAsia"/>
                <w:bCs/>
                <w:szCs w:val="21"/>
              </w:rPr>
              <w:t>2</w:t>
            </w:r>
            <w:r>
              <w:rPr>
                <w:bCs/>
                <w:szCs w:val="21"/>
              </w:rPr>
              <w:t>50</w:t>
            </w:r>
          </w:p>
        </w:tc>
        <w:tc>
          <w:tcPr>
            <w:tcW w:w="759" w:type="dxa"/>
            <w:vMerge w:val="continue"/>
            <w:vAlign w:val="center"/>
          </w:tcPr>
          <w:p>
            <w:pPr>
              <w:spacing w:line="324" w:lineRule="auto"/>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324" w:lineRule="auto"/>
              <w:jc w:val="center"/>
              <w:rPr>
                <w:bCs/>
                <w:szCs w:val="21"/>
              </w:rPr>
            </w:pPr>
            <w:r>
              <w:rPr>
                <w:rFonts w:hint="eastAsia"/>
                <w:bCs/>
                <w:szCs w:val="21"/>
              </w:rPr>
              <w:t>化学需氧量（C</w:t>
            </w:r>
            <w:r>
              <w:rPr>
                <w:bCs/>
                <w:szCs w:val="21"/>
              </w:rPr>
              <w:t>OD</w:t>
            </w:r>
            <w:r>
              <w:rPr>
                <w:rFonts w:hint="eastAsia"/>
                <w:bCs/>
                <w:szCs w:val="21"/>
              </w:rPr>
              <w:t>cr）</w:t>
            </w:r>
          </w:p>
        </w:tc>
        <w:tc>
          <w:tcPr>
            <w:tcW w:w="992" w:type="dxa"/>
            <w:vAlign w:val="center"/>
          </w:tcPr>
          <w:p>
            <w:pPr>
              <w:spacing w:line="324" w:lineRule="auto"/>
              <w:jc w:val="center"/>
              <w:rPr>
                <w:bCs/>
                <w:szCs w:val="21"/>
              </w:rPr>
            </w:pPr>
            <w:r>
              <w:rPr>
                <w:bCs/>
                <w:szCs w:val="21"/>
              </w:rPr>
              <w:t>G</w:t>
            </w:r>
          </w:p>
        </w:tc>
        <w:tc>
          <w:tcPr>
            <w:tcW w:w="3119" w:type="dxa"/>
            <w:vAlign w:val="center"/>
          </w:tcPr>
          <w:p>
            <w:pPr>
              <w:spacing w:line="324" w:lineRule="auto"/>
              <w:jc w:val="center"/>
              <w:rPr>
                <w:bCs/>
                <w:szCs w:val="21"/>
              </w:rPr>
            </w:pPr>
            <w:r>
              <w:rPr>
                <w:rFonts w:hint="eastAsia"/>
                <w:bCs/>
                <w:szCs w:val="21"/>
              </w:rPr>
              <w:t>加入H</w:t>
            </w:r>
            <w:r>
              <w:rPr>
                <w:rFonts w:hint="eastAsia"/>
                <w:bCs/>
                <w:szCs w:val="21"/>
                <w:vertAlign w:val="subscript"/>
              </w:rPr>
              <w:t>2</w:t>
            </w:r>
            <w:r>
              <w:rPr>
                <w:rFonts w:hint="eastAsia"/>
                <w:bCs/>
                <w:szCs w:val="21"/>
              </w:rPr>
              <w:t>SO</w:t>
            </w:r>
            <w:r>
              <w:rPr>
                <w:rFonts w:hint="eastAsia"/>
                <w:bCs/>
                <w:szCs w:val="21"/>
                <w:vertAlign w:val="subscript"/>
              </w:rPr>
              <w:t>4</w:t>
            </w:r>
            <w:r>
              <w:rPr>
                <w:rFonts w:hint="eastAsia"/>
                <w:bCs/>
                <w:szCs w:val="21"/>
              </w:rPr>
              <w:t>，至pH＜2</w:t>
            </w:r>
          </w:p>
        </w:tc>
        <w:tc>
          <w:tcPr>
            <w:tcW w:w="1276" w:type="dxa"/>
            <w:vAlign w:val="center"/>
          </w:tcPr>
          <w:p>
            <w:pPr>
              <w:spacing w:line="324" w:lineRule="auto"/>
              <w:jc w:val="center"/>
              <w:rPr>
                <w:bCs/>
                <w:szCs w:val="21"/>
              </w:rPr>
            </w:pPr>
            <w:r>
              <w:rPr>
                <w:bCs/>
                <w:szCs w:val="21"/>
              </w:rPr>
              <w:t>5</w:t>
            </w:r>
            <w:r>
              <w:rPr>
                <w:rFonts w:hint="eastAsia"/>
                <w:bCs/>
                <w:szCs w:val="21"/>
              </w:rPr>
              <w:t>d</w:t>
            </w:r>
          </w:p>
        </w:tc>
        <w:tc>
          <w:tcPr>
            <w:tcW w:w="992" w:type="dxa"/>
            <w:vAlign w:val="center"/>
          </w:tcPr>
          <w:p>
            <w:pPr>
              <w:spacing w:line="324" w:lineRule="auto"/>
              <w:jc w:val="center"/>
              <w:rPr>
                <w:bCs/>
                <w:szCs w:val="21"/>
              </w:rPr>
            </w:pPr>
            <w:r>
              <w:rPr>
                <w:bCs/>
                <w:szCs w:val="21"/>
              </w:rPr>
              <w:t>100</w:t>
            </w:r>
          </w:p>
        </w:tc>
        <w:tc>
          <w:tcPr>
            <w:tcW w:w="759" w:type="dxa"/>
            <w:vAlign w:val="center"/>
          </w:tcPr>
          <w:p>
            <w:pPr>
              <w:spacing w:line="324" w:lineRule="auto"/>
              <w:jc w:val="center"/>
              <w:rPr>
                <w:bCs/>
                <w:szCs w:val="21"/>
              </w:rPr>
            </w:pPr>
            <w:r>
              <w:rPr>
                <w:rFonts w:hint="eastAsia"/>
                <w:bCs/>
                <w:szCs w:val="21"/>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324" w:lineRule="auto"/>
              <w:jc w:val="center"/>
              <w:rPr>
                <w:bCs/>
                <w:szCs w:val="21"/>
              </w:rPr>
            </w:pPr>
            <w:r>
              <w:rPr>
                <w:rFonts w:hint="eastAsia"/>
                <w:bCs/>
                <w:szCs w:val="21"/>
              </w:rPr>
              <w:t>悬浮物</w:t>
            </w:r>
          </w:p>
        </w:tc>
        <w:tc>
          <w:tcPr>
            <w:tcW w:w="992" w:type="dxa"/>
            <w:vAlign w:val="center"/>
          </w:tcPr>
          <w:p>
            <w:pPr>
              <w:spacing w:line="324" w:lineRule="auto"/>
              <w:jc w:val="center"/>
              <w:rPr>
                <w:bCs/>
                <w:szCs w:val="21"/>
              </w:rPr>
            </w:pPr>
            <w:r>
              <w:rPr>
                <w:bCs/>
                <w:szCs w:val="21"/>
              </w:rPr>
              <w:t>G.P</w:t>
            </w:r>
          </w:p>
        </w:tc>
        <w:tc>
          <w:tcPr>
            <w:tcW w:w="3119" w:type="dxa"/>
            <w:vAlign w:val="center"/>
          </w:tcPr>
          <w:p>
            <w:pPr>
              <w:spacing w:line="324" w:lineRule="auto"/>
              <w:jc w:val="center"/>
              <w:rPr>
                <w:bCs/>
                <w:szCs w:val="21"/>
              </w:rPr>
            </w:pPr>
            <w:r>
              <w:rPr>
                <w:rFonts w:hint="eastAsia"/>
                <w:bCs/>
                <w:szCs w:val="21"/>
              </w:rPr>
              <w:t>0℃～4℃</w:t>
            </w:r>
          </w:p>
        </w:tc>
        <w:tc>
          <w:tcPr>
            <w:tcW w:w="1276" w:type="dxa"/>
            <w:vAlign w:val="center"/>
          </w:tcPr>
          <w:p>
            <w:pPr>
              <w:spacing w:line="324" w:lineRule="auto"/>
              <w:jc w:val="center"/>
              <w:rPr>
                <w:bCs/>
                <w:szCs w:val="21"/>
              </w:rPr>
            </w:pPr>
            <w:r>
              <w:rPr>
                <w:rFonts w:hint="eastAsia"/>
                <w:bCs/>
                <w:szCs w:val="21"/>
              </w:rPr>
              <w:t>7d</w:t>
            </w:r>
          </w:p>
        </w:tc>
        <w:tc>
          <w:tcPr>
            <w:tcW w:w="992" w:type="dxa"/>
            <w:vAlign w:val="center"/>
          </w:tcPr>
          <w:p>
            <w:pPr>
              <w:spacing w:line="324" w:lineRule="auto"/>
              <w:jc w:val="center"/>
              <w:rPr>
                <w:bCs/>
                <w:szCs w:val="21"/>
              </w:rPr>
            </w:pPr>
            <w:r>
              <w:rPr>
                <w:rFonts w:hint="eastAsia"/>
                <w:bCs/>
                <w:szCs w:val="21"/>
              </w:rPr>
              <w:t>5</w:t>
            </w:r>
            <w:r>
              <w:rPr>
                <w:bCs/>
                <w:szCs w:val="21"/>
              </w:rPr>
              <w:t>00</w:t>
            </w:r>
          </w:p>
        </w:tc>
        <w:tc>
          <w:tcPr>
            <w:tcW w:w="759" w:type="dxa"/>
            <w:vAlign w:val="center"/>
          </w:tcPr>
          <w:p>
            <w:pPr>
              <w:spacing w:line="324" w:lineRule="auto"/>
              <w:jc w:val="center"/>
              <w:rPr>
                <w:bCs/>
                <w:szCs w:val="21"/>
              </w:rPr>
            </w:pPr>
            <w:r>
              <w:rPr>
                <w:rFonts w:hint="eastAsia"/>
                <w:bCs/>
                <w:szCs w:val="21"/>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324" w:lineRule="auto"/>
              <w:jc w:val="center"/>
              <w:rPr>
                <w:bCs/>
                <w:szCs w:val="21"/>
              </w:rPr>
            </w:pPr>
            <w:r>
              <w:rPr>
                <w:rFonts w:hint="eastAsia"/>
                <w:bCs/>
                <w:szCs w:val="21"/>
              </w:rPr>
              <w:t>动植物油</w:t>
            </w:r>
          </w:p>
        </w:tc>
        <w:tc>
          <w:tcPr>
            <w:tcW w:w="992" w:type="dxa"/>
            <w:vAlign w:val="center"/>
          </w:tcPr>
          <w:p>
            <w:pPr>
              <w:spacing w:line="324" w:lineRule="auto"/>
              <w:jc w:val="center"/>
              <w:rPr>
                <w:bCs/>
                <w:szCs w:val="21"/>
              </w:rPr>
            </w:pPr>
            <w:r>
              <w:rPr>
                <w:bCs/>
                <w:szCs w:val="21"/>
              </w:rPr>
              <w:t>G</w:t>
            </w:r>
          </w:p>
        </w:tc>
        <w:tc>
          <w:tcPr>
            <w:tcW w:w="3119" w:type="dxa"/>
            <w:vAlign w:val="center"/>
          </w:tcPr>
          <w:p>
            <w:pPr>
              <w:spacing w:line="324" w:lineRule="auto"/>
              <w:jc w:val="center"/>
              <w:rPr>
                <w:bCs/>
                <w:szCs w:val="21"/>
              </w:rPr>
            </w:pPr>
            <w:r>
              <w:rPr>
                <w:rFonts w:hint="eastAsia"/>
                <w:bCs/>
                <w:szCs w:val="21"/>
              </w:rPr>
              <w:t>加入HCl 至pH≤2</w:t>
            </w:r>
          </w:p>
        </w:tc>
        <w:tc>
          <w:tcPr>
            <w:tcW w:w="1276" w:type="dxa"/>
            <w:vAlign w:val="center"/>
          </w:tcPr>
          <w:p>
            <w:pPr>
              <w:spacing w:line="324" w:lineRule="auto"/>
              <w:jc w:val="center"/>
              <w:rPr>
                <w:bCs/>
                <w:szCs w:val="21"/>
              </w:rPr>
            </w:pPr>
            <w:r>
              <w:rPr>
                <w:rFonts w:hint="eastAsia"/>
                <w:bCs/>
                <w:szCs w:val="21"/>
              </w:rPr>
              <w:t>7</w:t>
            </w:r>
            <w:r>
              <w:rPr>
                <w:bCs/>
                <w:szCs w:val="21"/>
              </w:rPr>
              <w:t>d</w:t>
            </w:r>
          </w:p>
        </w:tc>
        <w:tc>
          <w:tcPr>
            <w:tcW w:w="992" w:type="dxa"/>
            <w:vAlign w:val="center"/>
          </w:tcPr>
          <w:p>
            <w:pPr>
              <w:spacing w:line="324" w:lineRule="auto"/>
              <w:jc w:val="center"/>
              <w:rPr>
                <w:bCs/>
                <w:szCs w:val="21"/>
              </w:rPr>
            </w:pPr>
            <w:r>
              <w:rPr>
                <w:rFonts w:hint="eastAsia"/>
                <w:bCs/>
                <w:szCs w:val="21"/>
              </w:rPr>
              <w:t>5</w:t>
            </w:r>
            <w:r>
              <w:rPr>
                <w:bCs/>
                <w:szCs w:val="21"/>
              </w:rPr>
              <w:t>00</w:t>
            </w:r>
          </w:p>
        </w:tc>
        <w:tc>
          <w:tcPr>
            <w:tcW w:w="759" w:type="dxa"/>
            <w:vAlign w:val="center"/>
          </w:tcPr>
          <w:p>
            <w:pPr>
              <w:spacing w:line="324" w:lineRule="auto"/>
              <w:jc w:val="center"/>
              <w:rPr>
                <w:bCs/>
                <w:szCs w:val="21"/>
              </w:rPr>
            </w:pPr>
            <w:r>
              <w:rPr>
                <w:rFonts w:hint="eastAsia"/>
                <w:bCs/>
                <w:szCs w:val="21"/>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324" w:lineRule="auto"/>
              <w:jc w:val="center"/>
              <w:rPr>
                <w:bCs/>
                <w:szCs w:val="21"/>
              </w:rPr>
            </w:pPr>
            <w:r>
              <w:rPr>
                <w:rFonts w:hint="eastAsia"/>
                <w:bCs/>
                <w:szCs w:val="21"/>
              </w:rPr>
              <w:t>粪大肠菌群</w:t>
            </w:r>
          </w:p>
        </w:tc>
        <w:tc>
          <w:tcPr>
            <w:tcW w:w="992" w:type="dxa"/>
            <w:vAlign w:val="center"/>
          </w:tcPr>
          <w:p>
            <w:pPr>
              <w:spacing w:line="324" w:lineRule="auto"/>
              <w:jc w:val="center"/>
              <w:rPr>
                <w:bCs/>
                <w:szCs w:val="21"/>
              </w:rPr>
            </w:pPr>
            <w:r>
              <w:rPr>
                <w:bCs/>
                <w:szCs w:val="21"/>
              </w:rPr>
              <w:t>G.P</w:t>
            </w:r>
          </w:p>
          <w:p>
            <w:pPr>
              <w:spacing w:line="324" w:lineRule="auto"/>
              <w:jc w:val="center"/>
              <w:rPr>
                <w:bCs/>
                <w:szCs w:val="21"/>
              </w:rPr>
            </w:pPr>
            <w:r>
              <w:rPr>
                <w:rFonts w:hint="eastAsia"/>
                <w:bCs/>
                <w:szCs w:val="21"/>
              </w:rPr>
              <w:t>（灭菌）</w:t>
            </w:r>
          </w:p>
        </w:tc>
        <w:tc>
          <w:tcPr>
            <w:tcW w:w="3119" w:type="dxa"/>
            <w:vAlign w:val="center"/>
          </w:tcPr>
          <w:p>
            <w:pPr>
              <w:spacing w:line="324" w:lineRule="auto"/>
              <w:jc w:val="center"/>
              <w:rPr>
                <w:bCs/>
                <w:szCs w:val="21"/>
              </w:rPr>
            </w:pPr>
            <w:r>
              <w:rPr>
                <w:rFonts w:hint="eastAsia"/>
                <w:bCs/>
                <w:sz w:val="20"/>
                <w:szCs w:val="20"/>
              </w:rPr>
              <w:t>每1</w:t>
            </w:r>
            <w:r>
              <w:rPr>
                <w:bCs/>
                <w:sz w:val="20"/>
                <w:szCs w:val="20"/>
              </w:rPr>
              <w:t>25</w:t>
            </w:r>
            <w:r>
              <w:rPr>
                <w:rFonts w:hint="eastAsia"/>
                <w:bCs/>
                <w:sz w:val="20"/>
                <w:szCs w:val="20"/>
              </w:rPr>
              <w:t>ml加0</w:t>
            </w:r>
            <w:r>
              <w:rPr>
                <w:bCs/>
                <w:sz w:val="20"/>
                <w:szCs w:val="20"/>
              </w:rPr>
              <w:t>.01</w:t>
            </w:r>
            <w:r>
              <w:rPr>
                <w:rFonts w:hint="eastAsia"/>
                <w:bCs/>
                <w:sz w:val="20"/>
                <w:szCs w:val="20"/>
              </w:rPr>
              <w:t>g硫代硫酸钠去除余氯；每1</w:t>
            </w:r>
            <w:r>
              <w:rPr>
                <w:bCs/>
                <w:sz w:val="20"/>
                <w:szCs w:val="20"/>
              </w:rPr>
              <w:t>25</w:t>
            </w:r>
            <w:r>
              <w:rPr>
                <w:rFonts w:hint="eastAsia"/>
                <w:bCs/>
                <w:sz w:val="20"/>
                <w:szCs w:val="20"/>
              </w:rPr>
              <w:t>ml加0</w:t>
            </w:r>
            <w:r>
              <w:rPr>
                <w:bCs/>
                <w:sz w:val="20"/>
                <w:szCs w:val="20"/>
              </w:rPr>
              <w:t>.045</w:t>
            </w:r>
            <w:r>
              <w:rPr>
                <w:rFonts w:hint="eastAsia"/>
                <w:bCs/>
                <w:sz w:val="20"/>
                <w:szCs w:val="20"/>
              </w:rPr>
              <w:t>g乙二胺四乙酸二钠去除金属干扰。</w:t>
            </w:r>
          </w:p>
        </w:tc>
        <w:tc>
          <w:tcPr>
            <w:tcW w:w="1276" w:type="dxa"/>
            <w:vAlign w:val="center"/>
          </w:tcPr>
          <w:p>
            <w:pPr>
              <w:spacing w:line="324" w:lineRule="auto"/>
              <w:jc w:val="center"/>
              <w:rPr>
                <w:bCs/>
                <w:szCs w:val="21"/>
              </w:rPr>
            </w:pPr>
            <w:r>
              <w:rPr>
                <w:bCs/>
                <w:szCs w:val="21"/>
              </w:rPr>
              <w:t>2</w:t>
            </w:r>
            <w:r>
              <w:rPr>
                <w:rFonts w:hint="eastAsia"/>
                <w:bCs/>
                <w:szCs w:val="21"/>
              </w:rPr>
              <w:t>h；</w:t>
            </w:r>
          </w:p>
          <w:p>
            <w:pPr>
              <w:spacing w:line="324" w:lineRule="auto"/>
              <w:jc w:val="center"/>
              <w:rPr>
                <w:bCs/>
                <w:szCs w:val="21"/>
              </w:rPr>
            </w:pPr>
            <w:r>
              <w:rPr>
                <w:rFonts w:hint="eastAsia"/>
                <w:bCs/>
                <w:szCs w:val="21"/>
              </w:rPr>
              <w:t>1</w:t>
            </w:r>
            <w:r>
              <w:rPr>
                <w:bCs/>
                <w:szCs w:val="21"/>
              </w:rPr>
              <w:t>0</w:t>
            </w:r>
            <w:r>
              <w:rPr>
                <w:rFonts w:hint="eastAsia"/>
                <w:bCs/>
                <w:szCs w:val="21"/>
              </w:rPr>
              <w:t>℃以下冷藏，6h。</w:t>
            </w:r>
          </w:p>
        </w:tc>
        <w:tc>
          <w:tcPr>
            <w:tcW w:w="992" w:type="dxa"/>
            <w:vAlign w:val="center"/>
          </w:tcPr>
          <w:p>
            <w:pPr>
              <w:spacing w:line="324" w:lineRule="auto"/>
              <w:jc w:val="center"/>
              <w:rPr>
                <w:bCs/>
                <w:szCs w:val="21"/>
              </w:rPr>
            </w:pPr>
            <w:r>
              <w:rPr>
                <w:bCs/>
                <w:szCs w:val="21"/>
              </w:rPr>
              <w:t>250</w:t>
            </w:r>
          </w:p>
        </w:tc>
        <w:tc>
          <w:tcPr>
            <w:tcW w:w="759" w:type="dxa"/>
            <w:vAlign w:val="center"/>
          </w:tcPr>
          <w:p>
            <w:pPr>
              <w:spacing w:line="324" w:lineRule="auto"/>
              <w:jc w:val="center"/>
              <w:rPr>
                <w:bCs/>
                <w:szCs w:val="21"/>
              </w:rPr>
            </w:pPr>
            <w:r>
              <w:rPr>
                <w:rFonts w:hint="eastAsia"/>
                <w:bCs/>
                <w:szCs w:val="21"/>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restart"/>
            <w:vAlign w:val="center"/>
          </w:tcPr>
          <w:p>
            <w:pPr>
              <w:spacing w:line="324" w:lineRule="auto"/>
              <w:jc w:val="center"/>
              <w:rPr>
                <w:bCs/>
                <w:szCs w:val="21"/>
              </w:rPr>
            </w:pPr>
            <w:r>
              <w:rPr>
                <w:rFonts w:hint="eastAsia"/>
                <w:bCs/>
                <w:szCs w:val="21"/>
              </w:rPr>
              <w:t>总氮</w:t>
            </w:r>
          </w:p>
        </w:tc>
        <w:tc>
          <w:tcPr>
            <w:tcW w:w="992" w:type="dxa"/>
            <w:vAlign w:val="center"/>
          </w:tcPr>
          <w:p>
            <w:pPr>
              <w:spacing w:line="324" w:lineRule="auto"/>
              <w:jc w:val="center"/>
              <w:rPr>
                <w:bCs/>
                <w:szCs w:val="21"/>
              </w:rPr>
            </w:pPr>
            <w:r>
              <w:rPr>
                <w:bCs/>
                <w:szCs w:val="21"/>
              </w:rPr>
              <w:t>G.P</w:t>
            </w:r>
          </w:p>
        </w:tc>
        <w:tc>
          <w:tcPr>
            <w:tcW w:w="3119" w:type="dxa"/>
            <w:vAlign w:val="center"/>
          </w:tcPr>
          <w:p>
            <w:pPr>
              <w:spacing w:line="324" w:lineRule="auto"/>
              <w:jc w:val="center"/>
              <w:rPr>
                <w:bCs/>
                <w:szCs w:val="21"/>
              </w:rPr>
            </w:pPr>
            <w:r>
              <w:rPr>
                <w:rFonts w:hint="eastAsia"/>
                <w:bCs/>
                <w:szCs w:val="21"/>
              </w:rPr>
              <w:t>加入H</w:t>
            </w:r>
            <w:r>
              <w:rPr>
                <w:rFonts w:hint="eastAsia"/>
                <w:bCs/>
                <w:szCs w:val="21"/>
                <w:vertAlign w:val="subscript"/>
              </w:rPr>
              <w:t>2</w:t>
            </w:r>
            <w:r>
              <w:rPr>
                <w:rFonts w:hint="eastAsia"/>
                <w:bCs/>
                <w:szCs w:val="21"/>
              </w:rPr>
              <w:t>SO</w:t>
            </w:r>
            <w:r>
              <w:rPr>
                <w:rFonts w:hint="eastAsia"/>
                <w:bCs/>
                <w:szCs w:val="21"/>
                <w:vertAlign w:val="subscript"/>
              </w:rPr>
              <w:t>4</w:t>
            </w:r>
            <w:r>
              <w:rPr>
                <w:rFonts w:hint="eastAsia"/>
                <w:bCs/>
                <w:szCs w:val="21"/>
              </w:rPr>
              <w:t>，至pH≤2</w:t>
            </w:r>
          </w:p>
        </w:tc>
        <w:tc>
          <w:tcPr>
            <w:tcW w:w="1276" w:type="dxa"/>
            <w:vAlign w:val="center"/>
          </w:tcPr>
          <w:p>
            <w:pPr>
              <w:spacing w:line="324" w:lineRule="auto"/>
              <w:jc w:val="center"/>
              <w:rPr>
                <w:bCs/>
                <w:szCs w:val="21"/>
              </w:rPr>
            </w:pPr>
            <w:r>
              <w:rPr>
                <w:rFonts w:hint="eastAsia"/>
                <w:bCs/>
                <w:szCs w:val="21"/>
              </w:rPr>
              <w:t>7d</w:t>
            </w:r>
          </w:p>
        </w:tc>
        <w:tc>
          <w:tcPr>
            <w:tcW w:w="992" w:type="dxa"/>
            <w:vAlign w:val="center"/>
          </w:tcPr>
          <w:p>
            <w:pPr>
              <w:spacing w:line="324" w:lineRule="auto"/>
              <w:jc w:val="center"/>
              <w:rPr>
                <w:bCs/>
                <w:szCs w:val="21"/>
              </w:rPr>
            </w:pPr>
            <w:r>
              <w:rPr>
                <w:bCs/>
                <w:szCs w:val="21"/>
              </w:rPr>
              <w:t>250</w:t>
            </w:r>
          </w:p>
        </w:tc>
        <w:tc>
          <w:tcPr>
            <w:tcW w:w="759" w:type="dxa"/>
            <w:vMerge w:val="restart"/>
            <w:vAlign w:val="center"/>
          </w:tcPr>
          <w:p>
            <w:pPr>
              <w:spacing w:line="324" w:lineRule="auto"/>
              <w:jc w:val="center"/>
              <w:rPr>
                <w:bCs/>
                <w:szCs w:val="21"/>
              </w:rPr>
            </w:pPr>
            <w:r>
              <w:rPr>
                <w:rFonts w:hint="eastAsia"/>
                <w:bCs/>
                <w:szCs w:val="21"/>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continue"/>
            <w:vAlign w:val="center"/>
          </w:tcPr>
          <w:p>
            <w:pPr>
              <w:spacing w:line="324" w:lineRule="auto"/>
              <w:jc w:val="center"/>
              <w:rPr>
                <w:bCs/>
                <w:szCs w:val="21"/>
              </w:rPr>
            </w:pPr>
          </w:p>
        </w:tc>
        <w:tc>
          <w:tcPr>
            <w:tcW w:w="992" w:type="dxa"/>
            <w:vAlign w:val="center"/>
          </w:tcPr>
          <w:p>
            <w:pPr>
              <w:spacing w:line="324" w:lineRule="auto"/>
              <w:jc w:val="center"/>
              <w:rPr>
                <w:bCs/>
                <w:szCs w:val="21"/>
              </w:rPr>
            </w:pPr>
            <w:r>
              <w:rPr>
                <w:rFonts w:hint="eastAsia"/>
                <w:bCs/>
                <w:szCs w:val="21"/>
              </w:rPr>
              <w:t>P</w:t>
            </w:r>
          </w:p>
        </w:tc>
        <w:tc>
          <w:tcPr>
            <w:tcW w:w="3119" w:type="dxa"/>
            <w:vAlign w:val="center"/>
          </w:tcPr>
          <w:p>
            <w:pPr>
              <w:spacing w:line="324" w:lineRule="auto"/>
              <w:jc w:val="center"/>
              <w:rPr>
                <w:bCs/>
                <w:szCs w:val="21"/>
              </w:rPr>
            </w:pPr>
            <w:r>
              <w:rPr>
                <w:rFonts w:hint="eastAsia"/>
                <w:bCs/>
                <w:szCs w:val="21"/>
              </w:rPr>
              <w:t>-20℃冷冻</w:t>
            </w:r>
          </w:p>
        </w:tc>
        <w:tc>
          <w:tcPr>
            <w:tcW w:w="1276" w:type="dxa"/>
            <w:vAlign w:val="center"/>
          </w:tcPr>
          <w:p>
            <w:pPr>
              <w:spacing w:line="324" w:lineRule="auto"/>
              <w:jc w:val="center"/>
              <w:rPr>
                <w:bCs/>
                <w:szCs w:val="21"/>
              </w:rPr>
            </w:pPr>
            <w:r>
              <w:rPr>
                <w:rFonts w:hint="eastAsia"/>
                <w:bCs/>
                <w:szCs w:val="21"/>
              </w:rPr>
              <w:t>3</w:t>
            </w:r>
            <w:r>
              <w:rPr>
                <w:bCs/>
                <w:szCs w:val="21"/>
              </w:rPr>
              <w:t>0</w:t>
            </w:r>
            <w:r>
              <w:rPr>
                <w:rFonts w:hint="eastAsia"/>
                <w:bCs/>
                <w:szCs w:val="21"/>
              </w:rPr>
              <w:t>d</w:t>
            </w:r>
          </w:p>
        </w:tc>
        <w:tc>
          <w:tcPr>
            <w:tcW w:w="992" w:type="dxa"/>
            <w:vAlign w:val="center"/>
          </w:tcPr>
          <w:p>
            <w:pPr>
              <w:spacing w:line="324" w:lineRule="auto"/>
              <w:jc w:val="center"/>
              <w:rPr>
                <w:bCs/>
                <w:szCs w:val="21"/>
              </w:rPr>
            </w:pPr>
            <w:r>
              <w:rPr>
                <w:rFonts w:hint="eastAsia"/>
                <w:bCs/>
                <w:szCs w:val="21"/>
              </w:rPr>
              <w:t>5</w:t>
            </w:r>
            <w:r>
              <w:rPr>
                <w:bCs/>
                <w:szCs w:val="21"/>
              </w:rPr>
              <w:t>00</w:t>
            </w:r>
          </w:p>
        </w:tc>
        <w:tc>
          <w:tcPr>
            <w:tcW w:w="759" w:type="dxa"/>
            <w:vMerge w:val="continue"/>
            <w:vAlign w:val="center"/>
          </w:tcPr>
          <w:p>
            <w:pPr>
              <w:spacing w:line="324" w:lineRule="auto"/>
              <w:jc w:val="center"/>
              <w:rPr>
                <w:bCs/>
                <w:szCs w:val="21"/>
              </w:rPr>
            </w:pPr>
          </w:p>
        </w:tc>
      </w:tr>
    </w:tbl>
    <w:p>
      <w:pPr>
        <w:spacing w:line="460" w:lineRule="exact"/>
        <w:ind w:firstLine="420" w:firstLineChars="200"/>
        <w:rPr>
          <w:bCs/>
          <w:szCs w:val="21"/>
        </w:rPr>
      </w:pPr>
      <w:r>
        <w:rPr>
          <w:rFonts w:hint="eastAsia"/>
          <w:bCs/>
          <w:szCs w:val="21"/>
        </w:rPr>
        <w:t>注：（1）*表示应尽量作现场测定；</w:t>
      </w:r>
    </w:p>
    <w:p>
      <w:pPr>
        <w:spacing w:line="460" w:lineRule="exact"/>
        <w:ind w:firstLine="420" w:firstLineChars="200"/>
        <w:rPr>
          <w:bCs/>
          <w:szCs w:val="21"/>
        </w:rPr>
      </w:pPr>
      <w:r>
        <w:rPr>
          <w:rFonts w:hint="eastAsia"/>
          <w:bCs/>
          <w:szCs w:val="21"/>
        </w:rPr>
        <w:t>（2）G为硬质玻璃瓶；P为聚乙烯瓶(桶)。</w:t>
      </w:r>
    </w:p>
    <w:p>
      <w:pPr>
        <w:spacing w:line="460" w:lineRule="exact"/>
        <w:ind w:firstLine="420" w:firstLineChars="200"/>
        <w:rPr>
          <w:bCs/>
          <w:szCs w:val="21"/>
        </w:rPr>
      </w:pPr>
      <w:r>
        <w:rPr>
          <w:rFonts w:hint="eastAsia"/>
          <w:bCs/>
          <w:szCs w:val="21"/>
        </w:rPr>
        <w:t>（3）①为单项样品的最少采样量；</w:t>
      </w:r>
    </w:p>
    <w:p>
      <w:pPr>
        <w:spacing w:line="460" w:lineRule="exact"/>
        <w:ind w:firstLine="420" w:firstLineChars="200"/>
        <w:rPr>
          <w:bCs/>
          <w:szCs w:val="21"/>
        </w:rPr>
      </w:pPr>
      <w:r>
        <w:rPr>
          <w:rFonts w:hint="eastAsia"/>
          <w:bCs/>
          <w:szCs w:val="21"/>
        </w:rPr>
        <w:t>（4）I，II，III表示洗涤方法，如下：</w:t>
      </w:r>
    </w:p>
    <w:p>
      <w:pPr>
        <w:spacing w:line="460" w:lineRule="exact"/>
        <w:ind w:firstLine="420" w:firstLineChars="200"/>
        <w:rPr>
          <w:bCs/>
          <w:szCs w:val="21"/>
        </w:rPr>
      </w:pPr>
      <w:r>
        <w:rPr>
          <w:rFonts w:hint="eastAsia"/>
          <w:bCs/>
          <w:szCs w:val="21"/>
        </w:rPr>
        <w:t>I：洗涤剂洗一次，自来水三次，纯水一次；</w:t>
      </w:r>
    </w:p>
    <w:p>
      <w:pPr>
        <w:spacing w:line="460" w:lineRule="exact"/>
        <w:ind w:firstLine="420" w:firstLineChars="200"/>
        <w:rPr>
          <w:bCs/>
          <w:szCs w:val="21"/>
        </w:rPr>
      </w:pPr>
      <w:r>
        <w:rPr>
          <w:rFonts w:hint="eastAsia"/>
          <w:bCs/>
          <w:szCs w:val="21"/>
        </w:rPr>
        <w:t>II：洗涤剂洗一次，自来水洗二次，1+3 HNO3荡洗一次，自来水洗三次，纯水一次。</w:t>
      </w:r>
    </w:p>
    <w:p>
      <w:pPr>
        <w:spacing w:line="460" w:lineRule="exact"/>
        <w:ind w:firstLine="420" w:firstLineChars="200"/>
        <w:rPr>
          <w:bCs/>
          <w:szCs w:val="21"/>
        </w:rPr>
      </w:pPr>
      <w:r>
        <w:rPr>
          <w:rFonts w:hint="eastAsia"/>
          <w:bCs/>
          <w:szCs w:val="21"/>
        </w:rPr>
        <w:t>III：铬酸洗液洗一次，自来水洗三次，纯水洗一次。</w:t>
      </w:r>
    </w:p>
    <w:p>
      <w:pPr>
        <w:spacing w:line="460" w:lineRule="exact"/>
        <w:ind w:firstLine="420" w:firstLineChars="200"/>
        <w:rPr>
          <w:bCs/>
          <w:szCs w:val="21"/>
        </w:rPr>
      </w:pPr>
      <w:r>
        <w:rPr>
          <w:rFonts w:hint="eastAsia"/>
          <w:bCs/>
          <w:szCs w:val="21"/>
        </w:rPr>
        <w:t>（5）经160℃干热灭菌2h的微生物、生物采样容器，必须在两周内使用，否则应重新灭菌；经121℃高压蒸气灭菌15min的采样容器，如不立即使用，应于60℃将瓶内冷凝水烘干，两周内使用。细菌监测项目采样时不能用水样冲洗采样容器，不能采混合水样，应单独采样后2h内送化验室分析。</w:t>
      </w:r>
    </w:p>
    <w:p>
      <w:pPr>
        <w:spacing w:line="460" w:lineRule="exact"/>
        <w:ind w:firstLine="420" w:firstLineChars="200"/>
        <w:rPr>
          <w:bCs/>
          <w:szCs w:val="21"/>
        </w:rPr>
      </w:pPr>
      <w:r>
        <w:rPr>
          <w:rFonts w:hint="eastAsia"/>
          <w:bCs/>
          <w:szCs w:val="21"/>
        </w:rPr>
        <w:t>（6）为方便采样和运输其中氨氮、总磷、化学需氧量、总氮可合并采样。</w:t>
      </w:r>
    </w:p>
    <w:p>
      <w:pPr>
        <w:spacing w:line="324" w:lineRule="auto"/>
        <w:ind w:left="420" w:firstLine="420"/>
        <w:jc w:val="center"/>
        <w:rPr>
          <w:bCs/>
          <w:szCs w:val="21"/>
        </w:rPr>
      </w:pPr>
      <w:r>
        <w:rPr>
          <w:rFonts w:hint="eastAsia"/>
          <w:bCs/>
          <w:szCs w:val="21"/>
        </w:rPr>
        <w:t>表8-</w:t>
      </w:r>
      <w:r>
        <w:rPr>
          <w:bCs/>
          <w:szCs w:val="21"/>
        </w:rPr>
        <w:t>2</w:t>
      </w:r>
      <w:r>
        <w:rPr>
          <w:rFonts w:hint="eastAsia"/>
          <w:bCs/>
          <w:szCs w:val="21"/>
        </w:rPr>
        <w:t>合并采样的保存、容器、体积、洗涤方法</w:t>
      </w:r>
    </w:p>
    <w:tbl>
      <w:tblPr>
        <w:tblStyle w:val="14"/>
        <w:tblW w:w="0" w:type="auto"/>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6"/>
        <w:gridCol w:w="744"/>
        <w:gridCol w:w="2800"/>
        <w:gridCol w:w="851"/>
        <w:gridCol w:w="992"/>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vAlign w:val="center"/>
          </w:tcPr>
          <w:p>
            <w:pPr>
              <w:spacing w:line="324" w:lineRule="auto"/>
              <w:jc w:val="center"/>
              <w:rPr>
                <w:bCs/>
                <w:szCs w:val="21"/>
              </w:rPr>
            </w:pPr>
            <w:r>
              <w:rPr>
                <w:rFonts w:hint="eastAsia"/>
                <w:bCs/>
                <w:szCs w:val="21"/>
              </w:rPr>
              <w:t>项目</w:t>
            </w:r>
          </w:p>
        </w:tc>
        <w:tc>
          <w:tcPr>
            <w:tcW w:w="744" w:type="dxa"/>
            <w:vAlign w:val="center"/>
          </w:tcPr>
          <w:p>
            <w:pPr>
              <w:spacing w:line="324" w:lineRule="auto"/>
              <w:jc w:val="center"/>
              <w:rPr>
                <w:bCs/>
                <w:szCs w:val="21"/>
              </w:rPr>
            </w:pPr>
            <w:r>
              <w:rPr>
                <w:rFonts w:hint="eastAsia"/>
                <w:bCs/>
                <w:szCs w:val="21"/>
              </w:rPr>
              <w:t>采样容器</w:t>
            </w:r>
          </w:p>
        </w:tc>
        <w:tc>
          <w:tcPr>
            <w:tcW w:w="2800" w:type="dxa"/>
            <w:vAlign w:val="center"/>
          </w:tcPr>
          <w:p>
            <w:pPr>
              <w:spacing w:line="324" w:lineRule="auto"/>
              <w:jc w:val="center"/>
              <w:rPr>
                <w:bCs/>
                <w:szCs w:val="21"/>
              </w:rPr>
            </w:pPr>
            <w:r>
              <w:rPr>
                <w:rFonts w:hint="eastAsia"/>
                <w:bCs/>
                <w:szCs w:val="21"/>
              </w:rPr>
              <w:t>保存剂用量/保存条件</w:t>
            </w:r>
          </w:p>
        </w:tc>
        <w:tc>
          <w:tcPr>
            <w:tcW w:w="851" w:type="dxa"/>
            <w:vAlign w:val="center"/>
          </w:tcPr>
          <w:p>
            <w:pPr>
              <w:spacing w:line="324" w:lineRule="auto"/>
              <w:jc w:val="center"/>
              <w:rPr>
                <w:bCs/>
                <w:szCs w:val="21"/>
              </w:rPr>
            </w:pPr>
            <w:r>
              <w:rPr>
                <w:rFonts w:hint="eastAsia"/>
                <w:bCs/>
                <w:szCs w:val="21"/>
              </w:rPr>
              <w:t>保存期</w:t>
            </w:r>
          </w:p>
        </w:tc>
        <w:tc>
          <w:tcPr>
            <w:tcW w:w="992" w:type="dxa"/>
            <w:vAlign w:val="center"/>
          </w:tcPr>
          <w:p>
            <w:pPr>
              <w:spacing w:line="324" w:lineRule="auto"/>
              <w:jc w:val="center"/>
              <w:rPr>
                <w:bCs/>
                <w:szCs w:val="21"/>
              </w:rPr>
            </w:pPr>
            <w:r>
              <w:rPr>
                <w:rFonts w:hint="eastAsia"/>
                <w:bCs/>
                <w:szCs w:val="21"/>
              </w:rPr>
              <w:t>采样量</w:t>
            </w:r>
            <w:r>
              <w:rPr>
                <w:rFonts w:hint="eastAsia"/>
                <w:bCs/>
                <w:szCs w:val="21"/>
                <w:vertAlign w:val="superscript"/>
              </w:rPr>
              <w:t>①</w:t>
            </w:r>
          </w:p>
          <w:p>
            <w:pPr>
              <w:spacing w:line="324" w:lineRule="auto"/>
              <w:jc w:val="center"/>
              <w:rPr>
                <w:bCs/>
                <w:szCs w:val="21"/>
              </w:rPr>
            </w:pPr>
            <w:r>
              <w:rPr>
                <w:bCs/>
                <w:szCs w:val="21"/>
              </w:rPr>
              <w:t>(ml)</w:t>
            </w:r>
          </w:p>
        </w:tc>
        <w:tc>
          <w:tcPr>
            <w:tcW w:w="759" w:type="dxa"/>
            <w:vAlign w:val="center"/>
          </w:tcPr>
          <w:p>
            <w:pPr>
              <w:spacing w:line="324" w:lineRule="auto"/>
              <w:jc w:val="center"/>
              <w:rPr>
                <w:bCs/>
                <w:szCs w:val="21"/>
              </w:rPr>
            </w:pPr>
            <w:r>
              <w:rPr>
                <w:rFonts w:hint="eastAsia"/>
                <w:bCs/>
                <w:szCs w:val="21"/>
              </w:rPr>
              <w:t>容器洗涤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vAlign w:val="center"/>
          </w:tcPr>
          <w:p>
            <w:pPr>
              <w:spacing w:line="324" w:lineRule="auto"/>
              <w:jc w:val="center"/>
              <w:rPr>
                <w:bCs/>
                <w:szCs w:val="21"/>
              </w:rPr>
            </w:pPr>
            <w:r>
              <w:rPr>
                <w:rFonts w:hint="eastAsia"/>
                <w:bCs/>
                <w:szCs w:val="21"/>
              </w:rPr>
              <w:t>氨氮、总磷、化学需氧量、总氮</w:t>
            </w:r>
          </w:p>
        </w:tc>
        <w:tc>
          <w:tcPr>
            <w:tcW w:w="744" w:type="dxa"/>
            <w:vAlign w:val="center"/>
          </w:tcPr>
          <w:p>
            <w:pPr>
              <w:spacing w:line="324" w:lineRule="auto"/>
              <w:jc w:val="center"/>
              <w:rPr>
                <w:bCs/>
                <w:szCs w:val="21"/>
              </w:rPr>
            </w:pPr>
            <w:r>
              <w:rPr>
                <w:rFonts w:hint="eastAsia"/>
                <w:bCs/>
                <w:szCs w:val="21"/>
              </w:rPr>
              <w:t>G</w:t>
            </w:r>
          </w:p>
        </w:tc>
        <w:tc>
          <w:tcPr>
            <w:tcW w:w="2800" w:type="dxa"/>
            <w:vAlign w:val="center"/>
          </w:tcPr>
          <w:p>
            <w:pPr>
              <w:spacing w:line="324" w:lineRule="auto"/>
              <w:jc w:val="center"/>
              <w:rPr>
                <w:bCs/>
                <w:szCs w:val="21"/>
              </w:rPr>
            </w:pPr>
            <w:r>
              <w:rPr>
                <w:rFonts w:hint="eastAsia"/>
                <w:bCs/>
                <w:szCs w:val="21"/>
              </w:rPr>
              <w:t>加入H</w:t>
            </w:r>
            <w:r>
              <w:rPr>
                <w:rFonts w:hint="eastAsia"/>
                <w:bCs/>
                <w:szCs w:val="21"/>
                <w:vertAlign w:val="subscript"/>
              </w:rPr>
              <w:t>2</w:t>
            </w:r>
            <w:r>
              <w:rPr>
                <w:rFonts w:hint="eastAsia"/>
                <w:bCs/>
                <w:szCs w:val="21"/>
              </w:rPr>
              <w:t>SO</w:t>
            </w:r>
            <w:r>
              <w:rPr>
                <w:rFonts w:hint="eastAsia"/>
                <w:bCs/>
                <w:szCs w:val="21"/>
                <w:vertAlign w:val="subscript"/>
              </w:rPr>
              <w:t>4</w:t>
            </w:r>
            <w:r>
              <w:rPr>
                <w:rFonts w:hint="eastAsia"/>
                <w:bCs/>
                <w:szCs w:val="21"/>
              </w:rPr>
              <w:t>，至pH＜2，</w:t>
            </w:r>
          </w:p>
          <w:p>
            <w:pPr>
              <w:spacing w:line="324" w:lineRule="auto"/>
              <w:jc w:val="center"/>
              <w:rPr>
                <w:bCs/>
                <w:szCs w:val="21"/>
              </w:rPr>
            </w:pPr>
            <w:r>
              <w:rPr>
                <w:bCs/>
                <w:szCs w:val="21"/>
              </w:rPr>
              <w:t>2</w:t>
            </w:r>
            <w:r>
              <w:rPr>
                <w:rFonts w:hint="eastAsia"/>
                <w:bCs/>
                <w:szCs w:val="21"/>
              </w:rPr>
              <w:t>℃～</w:t>
            </w:r>
            <w:r>
              <w:rPr>
                <w:bCs/>
                <w:szCs w:val="21"/>
              </w:rPr>
              <w:t>5</w:t>
            </w:r>
            <w:r>
              <w:rPr>
                <w:rFonts w:hint="eastAsia"/>
                <w:bCs/>
                <w:szCs w:val="21"/>
              </w:rPr>
              <w:t>℃</w:t>
            </w:r>
          </w:p>
        </w:tc>
        <w:tc>
          <w:tcPr>
            <w:tcW w:w="851" w:type="dxa"/>
            <w:vAlign w:val="center"/>
          </w:tcPr>
          <w:p>
            <w:pPr>
              <w:spacing w:line="324" w:lineRule="auto"/>
              <w:jc w:val="center"/>
              <w:rPr>
                <w:bCs/>
                <w:szCs w:val="21"/>
              </w:rPr>
            </w:pPr>
            <w:r>
              <w:rPr>
                <w:rFonts w:hint="eastAsia"/>
                <w:bCs/>
                <w:szCs w:val="21"/>
              </w:rPr>
              <w:t>5</w:t>
            </w:r>
            <w:r>
              <w:rPr>
                <w:bCs/>
                <w:szCs w:val="21"/>
              </w:rPr>
              <w:t>d</w:t>
            </w:r>
          </w:p>
        </w:tc>
        <w:tc>
          <w:tcPr>
            <w:tcW w:w="992" w:type="dxa"/>
            <w:vAlign w:val="center"/>
          </w:tcPr>
          <w:p>
            <w:pPr>
              <w:spacing w:line="324" w:lineRule="auto"/>
              <w:jc w:val="center"/>
              <w:rPr>
                <w:bCs/>
                <w:szCs w:val="21"/>
              </w:rPr>
            </w:pPr>
            <w:r>
              <w:rPr>
                <w:rFonts w:hint="eastAsia"/>
                <w:bCs/>
                <w:szCs w:val="21"/>
              </w:rPr>
              <w:t>1</w:t>
            </w:r>
            <w:r>
              <w:rPr>
                <w:bCs/>
                <w:szCs w:val="21"/>
              </w:rPr>
              <w:t>000</w:t>
            </w:r>
          </w:p>
        </w:tc>
        <w:tc>
          <w:tcPr>
            <w:tcW w:w="759" w:type="dxa"/>
            <w:vAlign w:val="center"/>
          </w:tcPr>
          <w:p>
            <w:pPr>
              <w:spacing w:line="324" w:lineRule="auto"/>
              <w:jc w:val="center"/>
              <w:rPr>
                <w:bCs/>
                <w:szCs w:val="21"/>
              </w:rPr>
            </w:pPr>
            <w:r>
              <w:rPr>
                <w:rFonts w:hint="eastAsia"/>
                <w:bCs/>
                <w:szCs w:val="21"/>
              </w:rPr>
              <w:t>I</w:t>
            </w:r>
          </w:p>
        </w:tc>
      </w:tr>
    </w:tbl>
    <w:p>
      <w:pPr>
        <w:spacing w:line="324" w:lineRule="auto"/>
        <w:rPr>
          <w:b/>
          <w:szCs w:val="21"/>
        </w:rPr>
      </w:pPr>
      <w:r>
        <w:rPr>
          <w:rFonts w:hint="eastAsia" w:ascii="黑体" w:hAnsi="黑体" w:eastAsia="黑体"/>
          <w:b/>
          <w:szCs w:val="21"/>
        </w:rPr>
        <w:t>8</w:t>
      </w:r>
      <w:r>
        <w:rPr>
          <w:rFonts w:ascii="黑体" w:hAnsi="黑体" w:eastAsia="黑体"/>
          <w:b/>
          <w:szCs w:val="21"/>
        </w:rPr>
        <w:t xml:space="preserve">.1.2  </w:t>
      </w:r>
      <w:r>
        <w:rPr>
          <w:rFonts w:hint="eastAsia"/>
          <w:bCs/>
          <w:szCs w:val="21"/>
        </w:rPr>
        <w:t>采样方法</w:t>
      </w:r>
    </w:p>
    <w:p>
      <w:pPr>
        <w:spacing w:line="460" w:lineRule="exact"/>
        <w:ind w:firstLine="420" w:firstLineChars="200"/>
        <w:rPr>
          <w:bCs/>
          <w:szCs w:val="21"/>
        </w:rPr>
      </w:pPr>
      <w:r>
        <w:rPr>
          <w:rFonts w:hint="eastAsia"/>
          <w:bCs/>
          <w:szCs w:val="21"/>
        </w:rPr>
        <w:t>（1）采样前，必须了解与排放废水有关的生产和治理工艺流程、排放规律和治理措施，以便制定采样计划，判定存在的干扰因素和采取必要的预处理措施。</w:t>
      </w:r>
    </w:p>
    <w:p>
      <w:pPr>
        <w:spacing w:line="460" w:lineRule="exact"/>
        <w:ind w:firstLine="420" w:firstLineChars="200"/>
        <w:rPr>
          <w:bCs/>
          <w:szCs w:val="21"/>
        </w:rPr>
      </w:pPr>
      <w:r>
        <w:rPr>
          <w:rFonts w:hint="eastAsia"/>
          <w:bCs/>
          <w:szCs w:val="21"/>
        </w:rPr>
        <w:t>（2）废水的采样，应特别注意样品的代表性。采样点一经确定，不得随意更改。</w:t>
      </w:r>
    </w:p>
    <w:p>
      <w:pPr>
        <w:spacing w:line="460" w:lineRule="exact"/>
        <w:ind w:firstLine="420" w:firstLineChars="200"/>
        <w:rPr>
          <w:bCs/>
          <w:szCs w:val="21"/>
        </w:rPr>
      </w:pPr>
      <w:r>
        <w:rPr>
          <w:rFonts w:hint="eastAsia"/>
          <w:bCs/>
          <w:szCs w:val="21"/>
        </w:rPr>
        <w:t>（3）实际的采样位置应在采样断面的中心。当水深大于</w:t>
      </w:r>
      <w:r>
        <w:rPr>
          <w:bCs/>
          <w:szCs w:val="21"/>
        </w:rPr>
        <w:t>1</w:t>
      </w:r>
      <w:r>
        <w:rPr>
          <w:rFonts w:hint="eastAsia"/>
          <w:bCs/>
          <w:szCs w:val="21"/>
        </w:rPr>
        <w:t>m时，应在表层下1/4深度</w:t>
      </w:r>
    </w:p>
    <w:p>
      <w:pPr>
        <w:spacing w:line="460" w:lineRule="exact"/>
        <w:ind w:firstLine="420" w:firstLineChars="200"/>
        <w:rPr>
          <w:bCs/>
          <w:szCs w:val="21"/>
        </w:rPr>
      </w:pPr>
      <w:r>
        <w:rPr>
          <w:rFonts w:hint="eastAsia"/>
          <w:bCs/>
          <w:szCs w:val="21"/>
        </w:rPr>
        <w:t>处采样：水深小于或等于</w:t>
      </w:r>
      <w:r>
        <w:rPr>
          <w:bCs/>
          <w:szCs w:val="21"/>
        </w:rPr>
        <w:t>1</w:t>
      </w:r>
      <w:r>
        <w:rPr>
          <w:rFonts w:hint="eastAsia"/>
          <w:bCs/>
          <w:szCs w:val="21"/>
        </w:rPr>
        <w:t>m时，在水深的1/2处采样。</w:t>
      </w:r>
    </w:p>
    <w:p>
      <w:pPr>
        <w:spacing w:line="460" w:lineRule="exact"/>
        <w:ind w:firstLine="420" w:firstLineChars="200"/>
        <w:rPr>
          <w:bCs/>
          <w:szCs w:val="21"/>
        </w:rPr>
      </w:pPr>
      <w:r>
        <w:rPr>
          <w:rFonts w:hint="eastAsia"/>
          <w:bCs/>
          <w:szCs w:val="21"/>
        </w:rPr>
        <w:t>（4）采样时应注意除去水面的杂物，垃圾等漂浮物。</w:t>
      </w:r>
    </w:p>
    <w:p>
      <w:pPr>
        <w:spacing w:line="460" w:lineRule="exact"/>
        <w:ind w:firstLine="420" w:firstLineChars="200"/>
        <w:rPr>
          <w:bCs/>
          <w:szCs w:val="21"/>
        </w:rPr>
      </w:pPr>
      <w:r>
        <w:rPr>
          <w:rFonts w:hint="eastAsia"/>
          <w:bCs/>
          <w:szCs w:val="21"/>
        </w:rPr>
        <w:t>（5）采集废水样品时，建议同时测定流量，作为确定混合样组成比例和排污量计算的依据。</w:t>
      </w:r>
    </w:p>
    <w:p>
      <w:pPr>
        <w:spacing w:line="460" w:lineRule="exact"/>
        <w:ind w:firstLine="420" w:firstLineChars="200"/>
        <w:rPr>
          <w:bCs/>
          <w:szCs w:val="21"/>
        </w:rPr>
      </w:pPr>
      <w:r>
        <w:rPr>
          <w:rFonts w:hint="eastAsia"/>
          <w:bCs/>
          <w:szCs w:val="21"/>
        </w:rPr>
        <w:t>（6）所采集的废水样主要是瞬时样和比例混合样。一些排污单位的生产工艺过程连续且稳定，瞬时样品具有较好的代表性，则可以用瞬时采样的方法。对有污水处理设施并正常运转或建有调节池的污染源，其废水为稳定排放的，监测时亦可采集瞬时废水样。对不稳定排放的废水，应分时间单元采样，组成混合样品进行分析。当废水流量变化小于</w:t>
      </w:r>
      <w:r>
        <w:rPr>
          <w:bCs/>
          <w:szCs w:val="21"/>
        </w:rPr>
        <w:t>20</w:t>
      </w:r>
      <w:r>
        <w:rPr>
          <w:rFonts w:hint="eastAsia"/>
          <w:bCs/>
          <w:szCs w:val="21"/>
        </w:rPr>
        <w:t>%，污染物浓度随时间变化较小时，按等时间间隔采集等体积水样混合。</w:t>
      </w:r>
    </w:p>
    <w:p>
      <w:pPr>
        <w:spacing w:line="324" w:lineRule="auto"/>
        <w:ind w:firstLine="420"/>
        <w:rPr>
          <w:bCs/>
          <w:szCs w:val="21"/>
        </w:rPr>
      </w:pPr>
      <w:r>
        <w:rPr>
          <w:rFonts w:hint="eastAsia"/>
          <w:bCs/>
          <w:szCs w:val="21"/>
        </w:rPr>
        <w:t>（7）受悬浮物影响较大的监测项目，手工采样与油类采样相同，应采集含悬浮物的均匀水样。</w:t>
      </w:r>
    </w:p>
    <w:p>
      <w:pPr>
        <w:spacing w:line="460" w:lineRule="exact"/>
        <w:ind w:firstLine="420" w:firstLineChars="200"/>
        <w:rPr>
          <w:bCs/>
          <w:szCs w:val="21"/>
        </w:rPr>
      </w:pPr>
      <w:r>
        <w:rPr>
          <w:rFonts w:hint="eastAsia"/>
          <w:bCs/>
          <w:szCs w:val="21"/>
        </w:rPr>
        <w:t>（8）污水的监测项目按照行业类型有不同要求。在分时间单元采集样品时，测定pH值、化学需氧量、五日生化需氧量、溶解氧、硫化物、油类、有机物、余氯、粪大肠菌群、悬浮物、放射性等项目的样品，不能混合，只能单独采样。</w:t>
      </w:r>
    </w:p>
    <w:p>
      <w:pPr>
        <w:spacing w:line="460" w:lineRule="exact"/>
        <w:ind w:firstLine="420" w:firstLineChars="200"/>
        <w:rPr>
          <w:bCs/>
          <w:szCs w:val="21"/>
        </w:rPr>
      </w:pPr>
      <w:r>
        <w:rPr>
          <w:rFonts w:hint="eastAsia"/>
          <w:bCs/>
          <w:szCs w:val="21"/>
        </w:rPr>
        <w:t>（9）对不同的监测项目应选用的容器材质、加入的保存剂及其用量与保存期、应采集的水样体积和容器的洗涤方法见附表</w:t>
      </w:r>
      <w:r>
        <w:rPr>
          <w:bCs/>
          <w:szCs w:val="21"/>
        </w:rPr>
        <w:t>8</w:t>
      </w:r>
      <w:r>
        <w:rPr>
          <w:rFonts w:hint="eastAsia"/>
          <w:bCs/>
          <w:szCs w:val="21"/>
        </w:rPr>
        <w:t>-</w:t>
      </w:r>
      <w:r>
        <w:rPr>
          <w:bCs/>
          <w:szCs w:val="21"/>
        </w:rPr>
        <w:t>1</w:t>
      </w:r>
      <w:r>
        <w:rPr>
          <w:rFonts w:hint="eastAsia"/>
          <w:bCs/>
          <w:szCs w:val="21"/>
        </w:rPr>
        <w:t>。</w:t>
      </w:r>
    </w:p>
    <w:p>
      <w:pPr>
        <w:spacing w:line="460" w:lineRule="exact"/>
        <w:ind w:firstLine="420" w:firstLineChars="200"/>
        <w:rPr>
          <w:bCs/>
          <w:szCs w:val="21"/>
        </w:rPr>
      </w:pPr>
      <w:r>
        <w:rPr>
          <w:rFonts w:hint="eastAsia"/>
          <w:bCs/>
          <w:szCs w:val="21"/>
        </w:rPr>
        <w:t>（1</w:t>
      </w:r>
      <w:r>
        <w:rPr>
          <w:bCs/>
          <w:szCs w:val="21"/>
        </w:rPr>
        <w:t>0</w:t>
      </w:r>
      <w:r>
        <w:rPr>
          <w:rFonts w:hint="eastAsia"/>
          <w:bCs/>
          <w:szCs w:val="21"/>
        </w:rPr>
        <w:t>）废水样品的组成往往相当复杂，其稳定性通常比地表水更差，应设法尽快测保存和运输的具体要求见附表</w:t>
      </w:r>
      <w:r>
        <w:rPr>
          <w:bCs/>
          <w:szCs w:val="21"/>
        </w:rPr>
        <w:t>8</w:t>
      </w:r>
      <w:r>
        <w:rPr>
          <w:rFonts w:hint="eastAsia"/>
          <w:bCs/>
          <w:szCs w:val="21"/>
        </w:rPr>
        <w:t>-</w:t>
      </w:r>
      <w:r>
        <w:rPr>
          <w:bCs/>
          <w:szCs w:val="21"/>
        </w:rPr>
        <w:t>1</w:t>
      </w:r>
      <w:r>
        <w:rPr>
          <w:rFonts w:hint="eastAsia"/>
          <w:bCs/>
          <w:szCs w:val="21"/>
        </w:rPr>
        <w:t>。</w:t>
      </w:r>
    </w:p>
    <w:p>
      <w:pPr>
        <w:spacing w:line="460" w:lineRule="exact"/>
        <w:ind w:firstLine="420" w:firstLineChars="200"/>
        <w:rPr>
          <w:bCs/>
          <w:szCs w:val="21"/>
        </w:rPr>
      </w:pPr>
      <w:r>
        <w:rPr>
          <w:rFonts w:hint="eastAsia"/>
          <w:bCs/>
          <w:szCs w:val="21"/>
        </w:rPr>
        <w:t>（1</w:t>
      </w:r>
      <w:r>
        <w:rPr>
          <w:bCs/>
          <w:szCs w:val="21"/>
        </w:rPr>
        <w:t>1</w:t>
      </w:r>
      <w:r>
        <w:rPr>
          <w:rFonts w:hint="eastAsia"/>
          <w:bCs/>
          <w:szCs w:val="21"/>
        </w:rPr>
        <w:t>）用样品容器直接采样时，必须用水样冲洗三次后再行采样，特殊项目除外。但当水面有浮油时，采油的容器不能清洗。</w:t>
      </w:r>
    </w:p>
    <w:p>
      <w:pPr>
        <w:spacing w:line="460" w:lineRule="exact"/>
        <w:ind w:firstLine="420" w:firstLineChars="200"/>
        <w:rPr>
          <w:bCs/>
          <w:szCs w:val="21"/>
        </w:rPr>
      </w:pPr>
      <w:r>
        <w:rPr>
          <w:rFonts w:hint="eastAsia"/>
          <w:bCs/>
          <w:szCs w:val="21"/>
        </w:rPr>
        <w:t>（1</w:t>
      </w:r>
      <w:r>
        <w:rPr>
          <w:bCs/>
          <w:szCs w:val="21"/>
        </w:rPr>
        <w:t>2</w:t>
      </w:r>
      <w:r>
        <w:rPr>
          <w:rFonts w:hint="eastAsia"/>
          <w:bCs/>
          <w:szCs w:val="21"/>
        </w:rPr>
        <w:t>）用于测定悬浮物、五日生化需氧量、硫化物、油类、余氯的水样，必须单独定容采样，全部用于测定。</w:t>
      </w:r>
    </w:p>
    <w:p>
      <w:pPr>
        <w:spacing w:line="460" w:lineRule="exact"/>
        <w:ind w:firstLine="420" w:firstLineChars="200"/>
        <w:rPr>
          <w:bCs/>
          <w:szCs w:val="21"/>
        </w:rPr>
      </w:pPr>
      <w:r>
        <w:rPr>
          <w:rFonts w:hint="eastAsia"/>
          <w:bCs/>
          <w:szCs w:val="21"/>
        </w:rPr>
        <w:t>（1</w:t>
      </w:r>
      <w:r>
        <w:rPr>
          <w:bCs/>
          <w:szCs w:val="21"/>
        </w:rPr>
        <w:t>3</w:t>
      </w:r>
      <w:r>
        <w:rPr>
          <w:rFonts w:hint="eastAsia"/>
          <w:bCs/>
          <w:szCs w:val="21"/>
        </w:rPr>
        <w:t>）在选用特殊的专用采样器（如油类采样器）时，应按照该采样器的使用方法采样。</w:t>
      </w:r>
    </w:p>
    <w:p>
      <w:pPr>
        <w:spacing w:line="460" w:lineRule="exact"/>
        <w:ind w:firstLine="420" w:firstLineChars="200"/>
        <w:rPr>
          <w:bCs/>
          <w:szCs w:val="21"/>
        </w:rPr>
      </w:pPr>
      <w:r>
        <w:rPr>
          <w:rFonts w:hint="eastAsia"/>
          <w:bCs/>
          <w:szCs w:val="21"/>
        </w:rPr>
        <w:t>（1</w:t>
      </w:r>
      <w:r>
        <w:rPr>
          <w:bCs/>
          <w:szCs w:val="21"/>
        </w:rPr>
        <w:t>4</w:t>
      </w:r>
      <w:r>
        <w:rPr>
          <w:rFonts w:hint="eastAsia"/>
          <w:bCs/>
          <w:szCs w:val="21"/>
        </w:rPr>
        <w:t>）采样时应认真填写“采样记录表”，表中应有以下内容：污染源名称、监测目的、监测项目、采样点位、采样时间、样品编号、污水性质、污水流量、采样人姓名及其他有关事项等。</w:t>
      </w:r>
    </w:p>
    <w:p>
      <w:pPr>
        <w:spacing w:line="576" w:lineRule="auto"/>
        <w:rPr>
          <w:rFonts w:ascii="黑体" w:hAnsi="黑体" w:eastAsia="黑体"/>
          <w:b/>
          <w:szCs w:val="21"/>
        </w:rPr>
      </w:pPr>
      <w:bookmarkStart w:id="33" w:name="_Toc34083600"/>
      <w:r>
        <w:rPr>
          <w:rFonts w:ascii="黑体" w:hAnsi="黑体" w:eastAsia="黑体"/>
          <w:b/>
          <w:szCs w:val="21"/>
        </w:rPr>
        <w:t>8.2  样品的保存、运输和交接</w:t>
      </w:r>
      <w:bookmarkEnd w:id="33"/>
    </w:p>
    <w:p>
      <w:pPr>
        <w:spacing w:line="460" w:lineRule="exact"/>
        <w:rPr>
          <w:szCs w:val="21"/>
        </w:rPr>
      </w:pPr>
      <w:r>
        <w:rPr>
          <w:rFonts w:hint="eastAsia" w:ascii="黑体" w:hAnsi="黑体" w:eastAsia="黑体"/>
          <w:b/>
          <w:szCs w:val="21"/>
        </w:rPr>
        <w:t>8</w:t>
      </w:r>
      <w:r>
        <w:rPr>
          <w:rFonts w:ascii="黑体" w:hAnsi="黑体" w:eastAsia="黑体"/>
          <w:b/>
          <w:szCs w:val="21"/>
        </w:rPr>
        <w:t xml:space="preserve">.2.1  </w:t>
      </w:r>
      <w:r>
        <w:rPr>
          <w:rFonts w:hint="eastAsia"/>
          <w:szCs w:val="21"/>
        </w:rPr>
        <w:t>样品保存</w:t>
      </w:r>
    </w:p>
    <w:p>
      <w:pPr>
        <w:spacing w:line="460" w:lineRule="exact"/>
        <w:ind w:firstLine="420" w:firstLineChars="200"/>
        <w:rPr>
          <w:szCs w:val="21"/>
        </w:rPr>
      </w:pPr>
      <w:r>
        <w:rPr>
          <w:rFonts w:hint="eastAsia"/>
          <w:szCs w:val="21"/>
        </w:rPr>
        <w:t>水样采集完成后，应根据各项目的要求，进行样品冷藏、冷冻或加入固定剂等处理。样品的保存措施有：</w:t>
      </w:r>
    </w:p>
    <w:p>
      <w:pPr>
        <w:spacing w:line="460" w:lineRule="exact"/>
        <w:ind w:firstLine="420" w:firstLineChars="200"/>
        <w:rPr>
          <w:szCs w:val="21"/>
        </w:rPr>
      </w:pPr>
      <w:r>
        <w:rPr>
          <w:rFonts w:hint="eastAsia"/>
          <w:szCs w:val="21"/>
        </w:rPr>
        <w:t>（1）冷藏：水样采集后立即放在冰箱或冰水浴中，置暗处保存，一般于2~</w:t>
      </w:r>
      <w:r>
        <w:rPr>
          <w:szCs w:val="21"/>
        </w:rPr>
        <w:t>5</w:t>
      </w:r>
      <w:r>
        <w:rPr>
          <w:rFonts w:hint="eastAsia"/>
          <w:szCs w:val="21"/>
        </w:rPr>
        <w:t>℃冷藏。冷藏不适用长期保存，对废水的保存时间则更短。</w:t>
      </w:r>
    </w:p>
    <w:p>
      <w:pPr>
        <w:spacing w:line="460" w:lineRule="exact"/>
        <w:ind w:firstLine="420" w:firstLineChars="200"/>
        <w:rPr>
          <w:szCs w:val="21"/>
        </w:rPr>
      </w:pPr>
      <w:r>
        <w:rPr>
          <w:rFonts w:hint="eastAsia"/>
          <w:szCs w:val="21"/>
        </w:rPr>
        <w:t>（2）冷冻：一般能延长贮存期，但需要掌握融化和冻结的技术，以使样品能在融解时能迅速、均匀恢复至原始状态。</w:t>
      </w:r>
    </w:p>
    <w:p>
      <w:pPr>
        <w:spacing w:line="460" w:lineRule="exact"/>
        <w:ind w:firstLine="420" w:firstLineChars="200"/>
        <w:rPr>
          <w:szCs w:val="21"/>
        </w:rPr>
      </w:pPr>
      <w:r>
        <w:rPr>
          <w:rFonts w:hint="eastAsia"/>
          <w:szCs w:val="21"/>
        </w:rPr>
        <w:t>（3）加入固定剂：一般采用控制溶液pH值、加入抑制剂、加入氧化剂或还原剂的方式。</w:t>
      </w:r>
    </w:p>
    <w:p>
      <w:pPr>
        <w:spacing w:line="324" w:lineRule="auto"/>
        <w:rPr>
          <w:szCs w:val="21"/>
        </w:rPr>
      </w:pPr>
      <w:r>
        <w:rPr>
          <w:rFonts w:hint="eastAsia" w:ascii="黑体" w:hAnsi="黑体" w:eastAsia="黑体"/>
          <w:b/>
          <w:szCs w:val="21"/>
        </w:rPr>
        <w:t>8</w:t>
      </w:r>
      <w:r>
        <w:rPr>
          <w:rFonts w:ascii="黑体" w:hAnsi="黑体" w:eastAsia="黑体"/>
          <w:b/>
          <w:szCs w:val="21"/>
        </w:rPr>
        <w:t xml:space="preserve">.2.2  </w:t>
      </w:r>
      <w:r>
        <w:rPr>
          <w:rFonts w:hint="eastAsia"/>
          <w:szCs w:val="21"/>
        </w:rPr>
        <w:t>样品的运输和交接</w:t>
      </w:r>
    </w:p>
    <w:p>
      <w:pPr>
        <w:spacing w:line="460" w:lineRule="exact"/>
        <w:ind w:firstLine="420" w:firstLineChars="200"/>
        <w:rPr>
          <w:szCs w:val="21"/>
        </w:rPr>
      </w:pPr>
      <w:r>
        <w:rPr>
          <w:rFonts w:hint="eastAsia"/>
          <w:szCs w:val="21"/>
        </w:rPr>
        <w:t>（1）水样运输前应将容器的外（内）盖盖紧。玻璃容器装箱时应用泡沫塑料等分隔，以防破损。除了防震、避免日光照射和低温运输外，还要防止新的污染物进入容器和沾污瓶口，使水样变质。</w:t>
      </w:r>
    </w:p>
    <w:p>
      <w:pPr>
        <w:spacing w:line="460" w:lineRule="exact"/>
        <w:ind w:firstLine="420" w:firstLineChars="200"/>
        <w:rPr>
          <w:szCs w:val="21"/>
        </w:rPr>
      </w:pPr>
      <w:r>
        <w:rPr>
          <w:rFonts w:hint="eastAsia"/>
          <w:szCs w:val="21"/>
        </w:rPr>
        <w:t>（2）水样交实验室时接收者与送样者双方应在送样单上签名，送样单及采样记录由双方各存一份备查。交接过程中如发现编号错乱、盛样容器种类不符合要求或采样不合要求，应立即查明原因补采或重采，避免造成人为缺测。</w:t>
      </w:r>
    </w:p>
    <w:p>
      <w:pPr>
        <w:spacing w:line="460" w:lineRule="exact"/>
        <w:ind w:firstLine="420" w:firstLineChars="200"/>
        <w:rPr>
          <w:szCs w:val="21"/>
        </w:rPr>
      </w:pPr>
      <w:r>
        <w:rPr>
          <w:rFonts w:hint="eastAsia"/>
          <w:szCs w:val="21"/>
        </w:rPr>
        <w:t>（3）每次分析结束后，除必要保存外，样品瓶应及时清洗。</w:t>
      </w:r>
    </w:p>
    <w:p>
      <w:pPr>
        <w:spacing w:line="576" w:lineRule="auto"/>
        <w:rPr>
          <w:rFonts w:ascii="黑体" w:hAnsi="黑体" w:eastAsia="黑体"/>
          <w:b/>
          <w:szCs w:val="21"/>
        </w:rPr>
      </w:pPr>
      <w:bookmarkStart w:id="34" w:name="_Toc34083601"/>
      <w:r>
        <w:rPr>
          <w:rFonts w:ascii="黑体" w:hAnsi="黑体" w:eastAsia="黑体"/>
          <w:b/>
          <w:szCs w:val="21"/>
        </w:rPr>
        <w:t>8.3  采样的质量保证</w:t>
      </w:r>
      <w:bookmarkEnd w:id="34"/>
    </w:p>
    <w:p>
      <w:pPr>
        <w:spacing w:line="460" w:lineRule="exact"/>
        <w:rPr>
          <w:bCs/>
          <w:szCs w:val="21"/>
        </w:rPr>
      </w:pPr>
      <w:r>
        <w:rPr>
          <w:rFonts w:ascii="黑体" w:hAnsi="黑体" w:eastAsia="黑体"/>
          <w:b/>
          <w:szCs w:val="21"/>
        </w:rPr>
        <w:t xml:space="preserve">8.3.1  </w:t>
      </w:r>
      <w:r>
        <w:rPr>
          <w:rFonts w:hint="eastAsia"/>
          <w:bCs/>
          <w:szCs w:val="21"/>
        </w:rPr>
        <w:t>采样员必须通过岗前培训，切实掌握采样技术，熟知水样固定、保存、运输条件。</w:t>
      </w:r>
    </w:p>
    <w:p>
      <w:pPr>
        <w:spacing w:line="460" w:lineRule="exact"/>
        <w:rPr>
          <w:bCs/>
          <w:szCs w:val="21"/>
        </w:rPr>
      </w:pPr>
      <w:r>
        <w:rPr>
          <w:rFonts w:ascii="黑体" w:hAnsi="黑体" w:eastAsia="黑体"/>
          <w:b/>
          <w:szCs w:val="21"/>
        </w:rPr>
        <w:t xml:space="preserve">8.3.2  </w:t>
      </w:r>
      <w:r>
        <w:rPr>
          <w:rFonts w:hint="eastAsia"/>
          <w:bCs/>
          <w:szCs w:val="21"/>
        </w:rPr>
        <w:t>现场监测p</w:t>
      </w:r>
      <w:r>
        <w:rPr>
          <w:bCs/>
          <w:szCs w:val="21"/>
        </w:rPr>
        <w:t>H</w:t>
      </w:r>
      <w:r>
        <w:rPr>
          <w:rFonts w:hint="eastAsia"/>
          <w:bCs/>
          <w:szCs w:val="21"/>
        </w:rPr>
        <w:t>值等项目时，应在化验室内准备好所需的仪器设备，安全运输到现场，使用前后进行检查校准，确保性能正常。同时还应测水温。</w:t>
      </w:r>
    </w:p>
    <w:p>
      <w:pPr>
        <w:spacing w:line="460" w:lineRule="exact"/>
        <w:rPr>
          <w:bCs/>
          <w:szCs w:val="21"/>
        </w:rPr>
      </w:pPr>
      <w:r>
        <w:rPr>
          <w:rFonts w:ascii="黑体" w:hAnsi="黑体" w:eastAsia="黑体"/>
          <w:b/>
          <w:szCs w:val="21"/>
        </w:rPr>
        <w:t xml:space="preserve">8.3.3  </w:t>
      </w:r>
      <w:r>
        <w:rPr>
          <w:rFonts w:hint="eastAsia"/>
          <w:bCs/>
          <w:szCs w:val="21"/>
        </w:rPr>
        <w:t>采样时，除大肠菌群、动植物油类等有特殊要求的项目外，要先用采样水荡洗采样器与水样容器2～3 次，然后再将水样采入容器中，并按要求立即加入相应的固定剂，贴好标签。应使用正规的不干胶标签。</w:t>
      </w:r>
    </w:p>
    <w:p>
      <w:pPr>
        <w:spacing w:line="460" w:lineRule="exact"/>
        <w:rPr>
          <w:bCs/>
          <w:szCs w:val="21"/>
        </w:rPr>
      </w:pPr>
      <w:r>
        <w:rPr>
          <w:rFonts w:ascii="黑体" w:hAnsi="黑体" w:eastAsia="黑体"/>
          <w:b/>
          <w:szCs w:val="21"/>
        </w:rPr>
        <w:t xml:space="preserve">8.3.4  </w:t>
      </w:r>
      <w:r>
        <w:rPr>
          <w:rFonts w:hint="eastAsia"/>
          <w:bCs/>
          <w:szCs w:val="21"/>
        </w:rPr>
        <w:t>每批水样，应选择部分项目加采现场空白样，与样品一起送化验室分析。</w:t>
      </w:r>
    </w:p>
    <w:p>
      <w:pPr>
        <w:spacing w:line="460" w:lineRule="exact"/>
        <w:rPr>
          <w:bCs/>
          <w:szCs w:val="21"/>
        </w:rPr>
      </w:pPr>
      <w:r>
        <w:rPr>
          <w:rFonts w:hint="eastAsia" w:ascii="黑体" w:hAnsi="黑体" w:eastAsia="黑体"/>
          <w:b/>
          <w:szCs w:val="21"/>
        </w:rPr>
        <w:t>8</w:t>
      </w:r>
      <w:r>
        <w:rPr>
          <w:rFonts w:ascii="黑体" w:hAnsi="黑体" w:eastAsia="黑体"/>
          <w:b/>
          <w:szCs w:val="21"/>
        </w:rPr>
        <w:t xml:space="preserve">.3.5  </w:t>
      </w:r>
      <w:r>
        <w:rPr>
          <w:rFonts w:hint="eastAsia"/>
          <w:bCs/>
          <w:szCs w:val="21"/>
        </w:rPr>
        <w:t>采样过程中采样员不应有影响采样质量的行为，如使用化妆品，在采样时、样品分装时及样品密封现场吸烟等。汽车应停放在监测点（井）下风向5</w:t>
      </w:r>
      <w:r>
        <w:rPr>
          <w:bCs/>
          <w:szCs w:val="21"/>
        </w:rPr>
        <w:t>0</w:t>
      </w:r>
      <w:r>
        <w:rPr>
          <w:rFonts w:hint="eastAsia"/>
          <w:bCs/>
          <w:szCs w:val="21"/>
        </w:rPr>
        <w:t>m以外处。</w:t>
      </w:r>
    </w:p>
    <w:p>
      <w:pPr>
        <w:spacing w:line="460" w:lineRule="exact"/>
        <w:rPr>
          <w:bCs/>
          <w:szCs w:val="21"/>
        </w:rPr>
      </w:pPr>
      <w:r>
        <w:rPr>
          <w:rFonts w:hint="eastAsia" w:ascii="黑体" w:hAnsi="黑体" w:eastAsia="黑体"/>
          <w:b/>
          <w:szCs w:val="21"/>
        </w:rPr>
        <w:t>8</w:t>
      </w:r>
      <w:r>
        <w:rPr>
          <w:rFonts w:ascii="黑体" w:hAnsi="黑体" w:eastAsia="黑体"/>
          <w:b/>
          <w:szCs w:val="21"/>
        </w:rPr>
        <w:t xml:space="preserve">.3.6  </w:t>
      </w:r>
      <w:r>
        <w:rPr>
          <w:rFonts w:hint="eastAsia"/>
          <w:bCs/>
          <w:szCs w:val="21"/>
        </w:rPr>
        <w:t>同一监测点（井）应有两人以上进行采样，注意采样安全，采样过程要相互监护，防止中毒及掉入井中等意外事故的发生。</w:t>
      </w:r>
    </w:p>
    <w:p>
      <w:pPr>
        <w:spacing w:line="460" w:lineRule="exact"/>
        <w:rPr>
          <w:bCs/>
          <w:szCs w:val="21"/>
        </w:rPr>
      </w:pPr>
      <w:r>
        <w:rPr>
          <w:rFonts w:ascii="黑体" w:hAnsi="黑体" w:eastAsia="黑体"/>
          <w:b/>
          <w:szCs w:val="21"/>
        </w:rPr>
        <w:t xml:space="preserve">8.3.7  </w:t>
      </w:r>
      <w:r>
        <w:rPr>
          <w:rFonts w:hint="eastAsia"/>
          <w:bCs/>
          <w:szCs w:val="21"/>
        </w:rPr>
        <w:t>每次测试结束后，除必要的留存样品外，样品容器应及时清洗。</w:t>
      </w:r>
    </w:p>
    <w:p>
      <w:pPr>
        <w:pStyle w:val="2"/>
        <w:spacing w:before="0" w:after="0"/>
        <w:rPr>
          <w:rFonts w:ascii="黑体" w:hAnsi="黑体" w:eastAsia="黑体"/>
          <w:bCs/>
          <w:sz w:val="21"/>
          <w:szCs w:val="21"/>
        </w:rPr>
      </w:pPr>
      <w:bookmarkStart w:id="35" w:name="_Toc34083602"/>
      <w:r>
        <w:rPr>
          <w:rFonts w:hint="eastAsia" w:ascii="黑体" w:hAnsi="黑体" w:eastAsia="黑体"/>
          <w:bCs/>
          <w:sz w:val="21"/>
          <w:szCs w:val="21"/>
        </w:rPr>
        <w:t>9</w:t>
      </w:r>
      <w:r>
        <w:rPr>
          <w:rFonts w:ascii="黑体" w:hAnsi="黑体" w:eastAsia="黑体"/>
          <w:bCs/>
          <w:sz w:val="21"/>
          <w:szCs w:val="21"/>
        </w:rPr>
        <w:t xml:space="preserve">  </w:t>
      </w:r>
      <w:r>
        <w:rPr>
          <w:rFonts w:hint="eastAsia" w:ascii="黑体" w:hAnsi="黑体" w:eastAsia="黑体"/>
          <w:bCs/>
          <w:sz w:val="21"/>
          <w:szCs w:val="21"/>
        </w:rPr>
        <w:t>数据处理和结果表示</w:t>
      </w:r>
      <w:bookmarkEnd w:id="35"/>
    </w:p>
    <w:p>
      <w:pPr>
        <w:spacing w:line="576" w:lineRule="auto"/>
        <w:rPr>
          <w:rFonts w:ascii="黑体" w:hAnsi="黑体" w:eastAsia="黑体"/>
          <w:b/>
          <w:szCs w:val="21"/>
        </w:rPr>
      </w:pPr>
      <w:bookmarkStart w:id="36" w:name="_Toc34083603"/>
      <w:r>
        <w:rPr>
          <w:rFonts w:ascii="黑体" w:hAnsi="黑体" w:eastAsia="黑体"/>
          <w:b/>
          <w:szCs w:val="21"/>
        </w:rPr>
        <w:t>9.1  数据处理</w:t>
      </w:r>
      <w:bookmarkEnd w:id="36"/>
    </w:p>
    <w:p>
      <w:pPr>
        <w:spacing w:line="460" w:lineRule="exact"/>
        <w:rPr>
          <w:bCs/>
          <w:szCs w:val="21"/>
        </w:rPr>
      </w:pPr>
      <w:r>
        <w:rPr>
          <w:rFonts w:ascii="黑体" w:hAnsi="黑体" w:eastAsia="黑体"/>
          <w:b/>
          <w:szCs w:val="21"/>
        </w:rPr>
        <w:t>9.1.</w:t>
      </w:r>
      <w:r>
        <w:rPr>
          <w:rFonts w:hint="eastAsia" w:ascii="黑体" w:hAnsi="黑体" w:eastAsia="黑体"/>
          <w:b/>
          <w:szCs w:val="21"/>
        </w:rPr>
        <w:t>1</w:t>
      </w:r>
      <w:r>
        <w:rPr>
          <w:rFonts w:ascii="黑体" w:hAnsi="黑体" w:eastAsia="黑体"/>
          <w:b/>
          <w:szCs w:val="21"/>
        </w:rPr>
        <w:t xml:space="preserve">  </w:t>
      </w:r>
      <w:r>
        <w:rPr>
          <w:rFonts w:hint="eastAsia"/>
          <w:bCs/>
          <w:szCs w:val="21"/>
        </w:rPr>
        <w:t>数值修约按</w:t>
      </w:r>
      <w:r>
        <w:rPr>
          <w:bCs/>
          <w:szCs w:val="21"/>
        </w:rPr>
        <w:t xml:space="preserve">GB/T 8170-2008 </w:t>
      </w:r>
      <w:r>
        <w:rPr>
          <w:rFonts w:hint="eastAsia"/>
          <w:bCs/>
          <w:szCs w:val="21"/>
        </w:rPr>
        <w:t>《</w:t>
      </w:r>
      <w:r>
        <w:rPr>
          <w:bCs/>
          <w:szCs w:val="21"/>
        </w:rPr>
        <w:t>数值修约规则与极限数值的表示和判定</w:t>
      </w:r>
      <w:r>
        <w:rPr>
          <w:rFonts w:hint="eastAsia"/>
          <w:bCs/>
          <w:szCs w:val="21"/>
        </w:rPr>
        <w:t>》执行。</w:t>
      </w:r>
    </w:p>
    <w:p>
      <w:pPr>
        <w:spacing w:line="460" w:lineRule="exact"/>
        <w:rPr>
          <w:bCs/>
          <w:szCs w:val="21"/>
        </w:rPr>
      </w:pPr>
      <w:r>
        <w:rPr>
          <w:rFonts w:ascii="黑体" w:hAnsi="黑体" w:eastAsia="黑体"/>
          <w:b/>
          <w:szCs w:val="21"/>
        </w:rPr>
        <w:t>9.1.</w:t>
      </w:r>
      <w:r>
        <w:rPr>
          <w:rFonts w:hint="eastAsia" w:ascii="黑体" w:hAnsi="黑体" w:eastAsia="黑体"/>
          <w:b/>
          <w:szCs w:val="21"/>
        </w:rPr>
        <w:t>2</w:t>
      </w:r>
      <w:r>
        <w:rPr>
          <w:rFonts w:ascii="黑体" w:hAnsi="黑体" w:eastAsia="黑体"/>
          <w:b/>
          <w:szCs w:val="21"/>
        </w:rPr>
        <w:t xml:space="preserve">  </w:t>
      </w:r>
      <w:r>
        <w:rPr>
          <w:rFonts w:hint="eastAsia"/>
          <w:bCs/>
          <w:szCs w:val="21"/>
        </w:rPr>
        <w:t>应采用法定计量单位，非法定计量单位的记录应转换成法定计量单位的表达，并记录换算公式。</w:t>
      </w:r>
    </w:p>
    <w:p>
      <w:pPr>
        <w:spacing w:line="460" w:lineRule="exact"/>
        <w:rPr>
          <w:bCs/>
          <w:szCs w:val="21"/>
        </w:rPr>
      </w:pPr>
      <w:r>
        <w:rPr>
          <w:rFonts w:ascii="黑体" w:hAnsi="黑体" w:eastAsia="黑体"/>
          <w:b/>
          <w:szCs w:val="21"/>
        </w:rPr>
        <w:t xml:space="preserve">9.1.3  </w:t>
      </w:r>
      <w:r>
        <w:rPr>
          <w:rFonts w:hint="eastAsia"/>
          <w:bCs/>
          <w:szCs w:val="21"/>
        </w:rPr>
        <w:t>测试人员应根据标准方法、规范要求对原始记录作必要的数据处理。在数据处理时，发现异常数据不可轻易剔除，应按数据统计规则进行判断和处理。</w:t>
      </w:r>
    </w:p>
    <w:p>
      <w:pPr>
        <w:spacing w:line="460" w:lineRule="exact"/>
        <w:rPr>
          <w:bCs/>
          <w:szCs w:val="21"/>
        </w:rPr>
      </w:pPr>
      <w:r>
        <w:rPr>
          <w:rFonts w:ascii="黑体" w:hAnsi="黑体" w:eastAsia="黑体"/>
          <w:b/>
          <w:szCs w:val="21"/>
        </w:rPr>
        <w:t>9.1.</w:t>
      </w:r>
      <w:r>
        <w:rPr>
          <w:rFonts w:hint="eastAsia" w:ascii="黑体" w:hAnsi="黑体" w:eastAsia="黑体"/>
          <w:b/>
          <w:szCs w:val="21"/>
        </w:rPr>
        <w:t>4</w:t>
      </w:r>
      <w:r>
        <w:rPr>
          <w:rFonts w:ascii="黑体" w:hAnsi="黑体" w:eastAsia="黑体"/>
          <w:b/>
          <w:szCs w:val="21"/>
        </w:rPr>
        <w:t xml:space="preserve">  </w:t>
      </w:r>
      <w:r>
        <w:rPr>
          <w:rFonts w:hint="eastAsia"/>
          <w:bCs/>
          <w:szCs w:val="21"/>
        </w:rPr>
        <w:t>异常值的判断和处理</w:t>
      </w:r>
    </w:p>
    <w:p>
      <w:pPr>
        <w:spacing w:line="460" w:lineRule="exact"/>
        <w:ind w:firstLine="420" w:firstLineChars="200"/>
        <w:rPr>
          <w:bCs/>
          <w:szCs w:val="21"/>
        </w:rPr>
      </w:pPr>
      <w:r>
        <w:rPr>
          <w:rFonts w:hint="eastAsia"/>
          <w:bCs/>
          <w:szCs w:val="21"/>
        </w:rPr>
        <w:t>一组监测数据中，个别数据明显偏离其所属样本的其余测定值，即为异常值。对异常值的判断和处理，参照</w:t>
      </w:r>
      <w:r>
        <w:rPr>
          <w:bCs/>
          <w:szCs w:val="21"/>
        </w:rPr>
        <w:t xml:space="preserve">GB/T 4883-2008 </w:t>
      </w:r>
      <w:r>
        <w:rPr>
          <w:rFonts w:hint="eastAsia"/>
          <w:bCs/>
          <w:szCs w:val="21"/>
        </w:rPr>
        <w:t>《</w:t>
      </w:r>
      <w:r>
        <w:rPr>
          <w:bCs/>
          <w:szCs w:val="21"/>
        </w:rPr>
        <w:t>数据的统计处理和解释正态样本离群值的判断和处理</w:t>
      </w:r>
      <w:r>
        <w:rPr>
          <w:rFonts w:hint="eastAsia"/>
          <w:bCs/>
          <w:szCs w:val="21"/>
        </w:rPr>
        <w:t>》进行。</w:t>
      </w:r>
    </w:p>
    <w:p>
      <w:pPr>
        <w:spacing w:line="576" w:lineRule="auto"/>
        <w:rPr>
          <w:rFonts w:ascii="黑体" w:hAnsi="黑体" w:eastAsia="黑体"/>
          <w:b/>
          <w:szCs w:val="21"/>
        </w:rPr>
      </w:pPr>
      <w:bookmarkStart w:id="37" w:name="_Toc34083604"/>
      <w:r>
        <w:rPr>
          <w:rFonts w:ascii="黑体" w:hAnsi="黑体" w:eastAsia="黑体"/>
          <w:b/>
          <w:szCs w:val="21"/>
        </w:rPr>
        <w:t>9.2  有效数字</w:t>
      </w:r>
      <w:bookmarkEnd w:id="37"/>
    </w:p>
    <w:p>
      <w:pPr>
        <w:spacing w:line="460" w:lineRule="exact"/>
        <w:ind w:firstLine="420" w:firstLineChars="200"/>
        <w:rPr>
          <w:bCs/>
          <w:szCs w:val="21"/>
        </w:rPr>
      </w:pPr>
      <w:r>
        <w:rPr>
          <w:rFonts w:hint="eastAsia"/>
          <w:bCs/>
          <w:szCs w:val="21"/>
        </w:rPr>
        <w:t>监测数据报出的位数，对监测结果的准确性和数据资料的统计整理都是十分重要的。监测数据的有效位数应与测试系统的准确度相适应。一个分析结果的有效数字的位数，主要取决于原始数据的正确记录和数值的正确计算。在记录测量值时，要同时考虑到计量器具的精密度和准确度，以及测量仪器本身的读数误差。</w:t>
      </w:r>
    </w:p>
    <w:p>
      <w:pPr>
        <w:spacing w:line="460" w:lineRule="exact"/>
        <w:rPr>
          <w:bCs/>
          <w:szCs w:val="21"/>
        </w:rPr>
      </w:pPr>
      <w:r>
        <w:rPr>
          <w:rFonts w:hint="eastAsia" w:ascii="黑体" w:hAnsi="黑体" w:eastAsia="黑体"/>
          <w:b/>
          <w:szCs w:val="21"/>
        </w:rPr>
        <w:t>9</w:t>
      </w:r>
      <w:r>
        <w:rPr>
          <w:rFonts w:ascii="黑体" w:hAnsi="黑体" w:eastAsia="黑体"/>
          <w:b/>
          <w:szCs w:val="21"/>
        </w:rPr>
        <w:t xml:space="preserve">.2.1  </w:t>
      </w:r>
      <w:r>
        <w:rPr>
          <w:rFonts w:hint="eastAsia"/>
          <w:bCs/>
          <w:szCs w:val="21"/>
        </w:rPr>
        <w:t>以化验室最常用的计量器具为例：</w:t>
      </w:r>
    </w:p>
    <w:p>
      <w:pPr>
        <w:spacing w:line="460" w:lineRule="exact"/>
        <w:ind w:firstLine="420" w:firstLineChars="200"/>
        <w:rPr>
          <w:bCs/>
          <w:szCs w:val="21"/>
        </w:rPr>
      </w:pPr>
      <w:r>
        <w:rPr>
          <w:rFonts w:hint="eastAsia"/>
          <w:bCs/>
          <w:szCs w:val="21"/>
        </w:rPr>
        <w:t>（1）用万分之一天平（最小分度值为0</w:t>
      </w:r>
      <w:r>
        <w:rPr>
          <w:bCs/>
          <w:szCs w:val="21"/>
        </w:rPr>
        <w:t>.1</w:t>
      </w:r>
      <w:r>
        <w:rPr>
          <w:rFonts w:hint="eastAsia"/>
          <w:bCs/>
          <w:szCs w:val="21"/>
        </w:rPr>
        <w:t>mg）</w:t>
      </w:r>
      <w:r>
        <w:rPr>
          <w:bCs/>
          <w:szCs w:val="21"/>
        </w:rPr>
        <w:t xml:space="preserve"> </w:t>
      </w:r>
      <w:r>
        <w:rPr>
          <w:rFonts w:hint="eastAsia"/>
          <w:bCs/>
          <w:szCs w:val="21"/>
        </w:rPr>
        <w:t>进行称量时，有效数字可以记录到小数点后面第四位，如称取1</w:t>
      </w:r>
      <w:r>
        <w:rPr>
          <w:bCs/>
          <w:szCs w:val="21"/>
        </w:rPr>
        <w:t>.0321</w:t>
      </w:r>
      <w:r>
        <w:rPr>
          <w:rFonts w:hint="eastAsia"/>
          <w:bCs/>
          <w:szCs w:val="21"/>
        </w:rPr>
        <w:t>g，此时有效数字为五位；称取0</w:t>
      </w:r>
      <w:r>
        <w:rPr>
          <w:bCs/>
          <w:szCs w:val="21"/>
        </w:rPr>
        <w:t>.8783</w:t>
      </w:r>
      <w:r>
        <w:rPr>
          <w:rFonts w:hint="eastAsia"/>
          <w:bCs/>
          <w:szCs w:val="21"/>
        </w:rPr>
        <w:t>g，则为四位有效数字。</w:t>
      </w:r>
    </w:p>
    <w:p>
      <w:pPr>
        <w:spacing w:line="460" w:lineRule="exact"/>
        <w:ind w:firstLine="420" w:firstLineChars="200"/>
        <w:rPr>
          <w:bCs/>
          <w:szCs w:val="21"/>
        </w:rPr>
      </w:pPr>
      <w:r>
        <w:rPr>
          <w:rFonts w:hint="eastAsia"/>
          <w:bCs/>
          <w:szCs w:val="21"/>
        </w:rPr>
        <w:t>（2）用玻璃量器量取体积的有效数字位数是根据量器的容量允许差和读数误差来确定的。如单标线Ａ级5</w:t>
      </w:r>
      <w:r>
        <w:rPr>
          <w:bCs/>
          <w:szCs w:val="21"/>
        </w:rPr>
        <w:t>0</w:t>
      </w:r>
      <w:r>
        <w:rPr>
          <w:rFonts w:hint="eastAsia"/>
          <w:bCs/>
          <w:szCs w:val="21"/>
        </w:rPr>
        <w:t>ml容量瓶，准确容积为5</w:t>
      </w:r>
      <w:r>
        <w:rPr>
          <w:bCs/>
          <w:szCs w:val="21"/>
        </w:rPr>
        <w:t>0.00</w:t>
      </w:r>
      <w:r>
        <w:rPr>
          <w:rFonts w:hint="eastAsia"/>
          <w:bCs/>
          <w:szCs w:val="21"/>
        </w:rPr>
        <w:t>ml；单标线Ａ级1</w:t>
      </w:r>
      <w:r>
        <w:rPr>
          <w:bCs/>
          <w:szCs w:val="21"/>
        </w:rPr>
        <w:t>0</w:t>
      </w:r>
      <w:r>
        <w:rPr>
          <w:rFonts w:hint="eastAsia"/>
          <w:bCs/>
          <w:szCs w:val="21"/>
        </w:rPr>
        <w:t>ml移液管，准确容积为1</w:t>
      </w:r>
      <w:r>
        <w:rPr>
          <w:bCs/>
          <w:szCs w:val="21"/>
        </w:rPr>
        <w:t>0.00</w:t>
      </w:r>
      <w:r>
        <w:rPr>
          <w:rFonts w:hint="eastAsia"/>
          <w:bCs/>
          <w:szCs w:val="21"/>
        </w:rPr>
        <w:t>ml，有效数字均为四位；用分度移液管或滴定管，其读数的有效数字可达到其最小分度后一位，保留一位不确定数字。</w:t>
      </w:r>
    </w:p>
    <w:p>
      <w:pPr>
        <w:spacing w:line="460" w:lineRule="exact"/>
        <w:ind w:firstLine="420" w:firstLineChars="200"/>
        <w:rPr>
          <w:bCs/>
          <w:szCs w:val="21"/>
        </w:rPr>
      </w:pPr>
      <w:r>
        <w:rPr>
          <w:rFonts w:hint="eastAsia"/>
          <w:bCs/>
          <w:szCs w:val="21"/>
        </w:rPr>
        <w:t>（3）分光光度计最小分度值为0</w:t>
      </w:r>
      <w:r>
        <w:rPr>
          <w:bCs/>
          <w:szCs w:val="21"/>
        </w:rPr>
        <w:t>.001</w:t>
      </w:r>
      <w:r>
        <w:rPr>
          <w:rFonts w:hint="eastAsia"/>
          <w:bCs/>
          <w:szCs w:val="21"/>
        </w:rPr>
        <w:t>，因此，吸光度一般可记到小数点后第三位，且其有效数字位数最多只有三位。</w:t>
      </w:r>
    </w:p>
    <w:p>
      <w:pPr>
        <w:spacing w:line="460" w:lineRule="exact"/>
        <w:ind w:firstLine="420" w:firstLineChars="200"/>
        <w:rPr>
          <w:bCs/>
          <w:szCs w:val="21"/>
        </w:rPr>
      </w:pPr>
      <w:r>
        <w:rPr>
          <w:rFonts w:hint="eastAsia"/>
          <w:bCs/>
          <w:szCs w:val="21"/>
        </w:rPr>
        <w:t>（4）带有计算机处理系统的分析仪器，往往根据计算机自身的设定打印或显示结果，可以有很多位数，但这并不增加仪器的精度和数字的有效位数。</w:t>
      </w:r>
    </w:p>
    <w:p>
      <w:pPr>
        <w:spacing w:line="460" w:lineRule="exact"/>
        <w:ind w:firstLine="420" w:firstLineChars="200"/>
        <w:rPr>
          <w:bCs/>
          <w:szCs w:val="21"/>
        </w:rPr>
      </w:pPr>
      <w:r>
        <w:rPr>
          <w:rFonts w:hint="eastAsia"/>
          <w:bCs/>
          <w:szCs w:val="21"/>
        </w:rPr>
        <w:t>（5）在一系列操作中，使用多种计量仪器时，有效数字以最少的一种计量仪器的位数表示。</w:t>
      </w:r>
    </w:p>
    <w:p>
      <w:pPr>
        <w:spacing w:line="460" w:lineRule="exact"/>
        <w:rPr>
          <w:bCs/>
          <w:szCs w:val="21"/>
        </w:rPr>
      </w:pPr>
      <w:r>
        <w:rPr>
          <w:rFonts w:ascii="黑体" w:hAnsi="黑体" w:eastAsia="黑体"/>
          <w:b/>
          <w:szCs w:val="21"/>
        </w:rPr>
        <w:t xml:space="preserve">9.2.2  </w:t>
      </w:r>
      <w:r>
        <w:rPr>
          <w:rFonts w:hint="eastAsia"/>
          <w:bCs/>
          <w:szCs w:val="21"/>
        </w:rPr>
        <w:t>表示精密度的有效数字根据分析方法和待测物的浓度不同，一般只取一位有效数字。当测定次数很多时，可取两位有效数字，且最多只取两位有效数字。</w:t>
      </w:r>
    </w:p>
    <w:p>
      <w:pPr>
        <w:spacing w:line="460" w:lineRule="exact"/>
        <w:rPr>
          <w:bCs/>
          <w:szCs w:val="21"/>
        </w:rPr>
      </w:pPr>
      <w:r>
        <w:rPr>
          <w:rFonts w:ascii="黑体" w:hAnsi="黑体" w:eastAsia="黑体"/>
          <w:b/>
          <w:szCs w:val="21"/>
        </w:rPr>
        <w:t xml:space="preserve">9.2.3  </w:t>
      </w:r>
      <w:r>
        <w:rPr>
          <w:rFonts w:hint="eastAsia"/>
          <w:bCs/>
          <w:szCs w:val="21"/>
        </w:rPr>
        <w:t>分析结果有效数字所能达到的数位不能超过方法检出限的有效数字所能达到的数位。如方法的检出限为0</w:t>
      </w:r>
      <w:r>
        <w:rPr>
          <w:bCs/>
          <w:szCs w:val="21"/>
        </w:rPr>
        <w:t>.02</w:t>
      </w:r>
      <w:r>
        <w:rPr>
          <w:rFonts w:hint="eastAsia"/>
          <w:bCs/>
          <w:szCs w:val="21"/>
        </w:rPr>
        <w:t>mg</w:t>
      </w:r>
      <w:r>
        <w:rPr>
          <w:bCs/>
          <w:szCs w:val="21"/>
        </w:rPr>
        <w:t>/L</w:t>
      </w:r>
      <w:r>
        <w:rPr>
          <w:rFonts w:hint="eastAsia"/>
          <w:bCs/>
          <w:szCs w:val="21"/>
        </w:rPr>
        <w:t>，则分析结果报</w:t>
      </w:r>
      <w:r>
        <w:rPr>
          <w:bCs/>
          <w:szCs w:val="21"/>
        </w:rPr>
        <w:t>0.088</w:t>
      </w:r>
      <w:r>
        <w:rPr>
          <w:rFonts w:hint="eastAsia"/>
          <w:bCs/>
          <w:szCs w:val="21"/>
        </w:rPr>
        <w:t>mg</w:t>
      </w:r>
      <w:r>
        <w:rPr>
          <w:bCs/>
          <w:szCs w:val="21"/>
        </w:rPr>
        <w:t>/L</w:t>
      </w:r>
      <w:r>
        <w:rPr>
          <w:rFonts w:hint="eastAsia"/>
          <w:bCs/>
          <w:szCs w:val="21"/>
        </w:rPr>
        <w:t>就不合理，应报0</w:t>
      </w:r>
      <w:r>
        <w:rPr>
          <w:bCs/>
          <w:szCs w:val="21"/>
        </w:rPr>
        <w:t>.09</w:t>
      </w:r>
      <w:r>
        <w:rPr>
          <w:rFonts w:hint="eastAsia"/>
          <w:bCs/>
          <w:szCs w:val="21"/>
        </w:rPr>
        <w:t>mg</w:t>
      </w:r>
      <w:r>
        <w:rPr>
          <w:bCs/>
          <w:szCs w:val="21"/>
        </w:rPr>
        <w:t>/L</w:t>
      </w:r>
      <w:r>
        <w:rPr>
          <w:rFonts w:hint="eastAsia"/>
          <w:bCs/>
          <w:szCs w:val="21"/>
        </w:rPr>
        <w:t>。</w:t>
      </w:r>
    </w:p>
    <w:p>
      <w:pPr>
        <w:spacing w:line="460" w:lineRule="exact"/>
        <w:rPr>
          <w:bCs/>
          <w:szCs w:val="21"/>
        </w:rPr>
      </w:pPr>
      <w:r>
        <w:rPr>
          <w:rFonts w:ascii="黑体" w:hAnsi="黑体" w:eastAsia="黑体"/>
          <w:b/>
          <w:szCs w:val="21"/>
        </w:rPr>
        <w:t xml:space="preserve">9.2.4  </w:t>
      </w:r>
      <w:r>
        <w:rPr>
          <w:rFonts w:hint="eastAsia"/>
          <w:bCs/>
          <w:szCs w:val="21"/>
        </w:rPr>
        <w:t>以一元线性回归方程计算时，校准曲线斜率b</w:t>
      </w:r>
      <w:r>
        <w:rPr>
          <w:bCs/>
          <w:szCs w:val="21"/>
        </w:rPr>
        <w:t>的有效位数，应与自变量xi的有效数</w:t>
      </w:r>
      <w:r>
        <w:rPr>
          <w:rFonts w:hint="eastAsia"/>
          <w:bCs/>
          <w:szCs w:val="21"/>
        </w:rPr>
        <w:t>字位数相等，或最多比</w:t>
      </w:r>
      <w:r>
        <w:rPr>
          <w:bCs/>
          <w:szCs w:val="21"/>
        </w:rPr>
        <w:t>xi多保留一位。截距a的最后一位数，则和因变量yi数值的最后一</w:t>
      </w:r>
      <w:r>
        <w:rPr>
          <w:rFonts w:hint="eastAsia"/>
          <w:bCs/>
          <w:szCs w:val="21"/>
        </w:rPr>
        <w:t>位取齐，或最多比</w:t>
      </w:r>
      <w:r>
        <w:rPr>
          <w:bCs/>
          <w:szCs w:val="21"/>
        </w:rPr>
        <w:t>yi多保留一位数。</w:t>
      </w:r>
    </w:p>
    <w:p>
      <w:pPr>
        <w:spacing w:line="460" w:lineRule="exact"/>
        <w:rPr>
          <w:bCs/>
          <w:szCs w:val="21"/>
        </w:rPr>
      </w:pPr>
      <w:r>
        <w:rPr>
          <w:rFonts w:ascii="黑体" w:hAnsi="黑体" w:eastAsia="黑体"/>
          <w:b/>
          <w:szCs w:val="21"/>
        </w:rPr>
        <w:t xml:space="preserve">9.2.5  </w:t>
      </w:r>
      <w:r>
        <w:rPr>
          <w:rFonts w:hint="eastAsia"/>
          <w:bCs/>
          <w:szCs w:val="21"/>
        </w:rPr>
        <w:t>在数值计算中，当有效数字位数确定之后，其余数字应按修约规则一律舍去。</w:t>
      </w:r>
    </w:p>
    <w:p>
      <w:pPr>
        <w:spacing w:line="460" w:lineRule="exact"/>
        <w:rPr>
          <w:bCs/>
          <w:szCs w:val="21"/>
        </w:rPr>
      </w:pPr>
      <w:r>
        <w:rPr>
          <w:rFonts w:ascii="黑体" w:hAnsi="黑体" w:eastAsia="黑体"/>
          <w:b/>
          <w:szCs w:val="21"/>
        </w:rPr>
        <w:t xml:space="preserve">9.2.6  </w:t>
      </w:r>
      <w:r>
        <w:rPr>
          <w:rFonts w:hint="eastAsia"/>
          <w:bCs/>
          <w:szCs w:val="21"/>
        </w:rPr>
        <w:t>在数值计算中，某些倍数、分数、不连续物理量的数值，以及不经测量而完全根据理论计算或定义得到的数值，其有效数字的位数可视为无限。这类数值在计算中按需要几位就可以写几位。</w:t>
      </w:r>
    </w:p>
    <w:p>
      <w:pPr>
        <w:spacing w:line="460" w:lineRule="exact"/>
        <w:rPr>
          <w:bCs/>
          <w:szCs w:val="21"/>
        </w:rPr>
      </w:pPr>
      <w:r>
        <w:rPr>
          <w:rFonts w:hint="eastAsia" w:ascii="黑体" w:hAnsi="黑体" w:eastAsia="黑体"/>
          <w:b/>
          <w:szCs w:val="21"/>
        </w:rPr>
        <w:t>9</w:t>
      </w:r>
      <w:r>
        <w:rPr>
          <w:rFonts w:ascii="黑体" w:hAnsi="黑体" w:eastAsia="黑体"/>
          <w:b/>
          <w:szCs w:val="21"/>
        </w:rPr>
        <w:t xml:space="preserve">.2.7  </w:t>
      </w:r>
      <w:r>
        <w:rPr>
          <w:rFonts w:hint="eastAsia"/>
          <w:bCs/>
          <w:szCs w:val="21"/>
        </w:rPr>
        <w:t>如果监测方法标准中有规定，则按监测方法规定执行。</w:t>
      </w:r>
    </w:p>
    <w:p>
      <w:pPr>
        <w:spacing w:line="460" w:lineRule="exact"/>
        <w:rPr>
          <w:bCs/>
          <w:szCs w:val="21"/>
        </w:rPr>
      </w:pPr>
      <w:r>
        <w:rPr>
          <w:rFonts w:hint="eastAsia" w:ascii="黑体" w:hAnsi="黑体" w:eastAsia="黑体"/>
          <w:b/>
          <w:szCs w:val="21"/>
        </w:rPr>
        <w:t>9</w:t>
      </w:r>
      <w:r>
        <w:rPr>
          <w:rFonts w:ascii="黑体" w:hAnsi="黑体" w:eastAsia="黑体"/>
          <w:b/>
          <w:szCs w:val="21"/>
        </w:rPr>
        <w:t xml:space="preserve">.2.8  </w:t>
      </w:r>
      <w:r>
        <w:rPr>
          <w:rFonts w:hint="eastAsia"/>
          <w:bCs/>
          <w:szCs w:val="21"/>
        </w:rPr>
        <w:t>“四舍六入五取偶”法是环境检测结果数据的一般修约方法，也是科学数据的最常见处理方法。</w:t>
      </w:r>
    </w:p>
    <w:p>
      <w:pPr>
        <w:spacing w:line="576" w:lineRule="auto"/>
        <w:rPr>
          <w:rFonts w:ascii="黑体" w:hAnsi="黑体" w:eastAsia="黑体"/>
          <w:b/>
          <w:szCs w:val="21"/>
        </w:rPr>
      </w:pPr>
      <w:bookmarkStart w:id="38" w:name="_Toc34083605"/>
      <w:r>
        <w:rPr>
          <w:rFonts w:ascii="黑体" w:hAnsi="黑体" w:eastAsia="黑体"/>
          <w:b/>
          <w:szCs w:val="21"/>
        </w:rPr>
        <w:t>9.3  结果表示</w:t>
      </w:r>
      <w:bookmarkEnd w:id="38"/>
    </w:p>
    <w:p>
      <w:pPr>
        <w:spacing w:line="460" w:lineRule="exact"/>
        <w:ind w:firstLine="420" w:firstLineChars="200"/>
        <w:rPr>
          <w:bCs/>
          <w:szCs w:val="21"/>
        </w:rPr>
      </w:pPr>
      <w:r>
        <w:rPr>
          <w:rFonts w:hint="eastAsia"/>
          <w:bCs/>
          <w:szCs w:val="21"/>
        </w:rPr>
        <w:t>所使用的计量单位应采用中华人民共和国法定计量单位。</w:t>
      </w:r>
    </w:p>
    <w:p>
      <w:pPr>
        <w:spacing w:line="460" w:lineRule="exact"/>
        <w:rPr>
          <w:bCs/>
          <w:szCs w:val="21"/>
        </w:rPr>
      </w:pPr>
      <w:r>
        <w:rPr>
          <w:rFonts w:ascii="黑体" w:hAnsi="黑体" w:eastAsia="黑体"/>
          <w:b/>
          <w:szCs w:val="21"/>
        </w:rPr>
        <w:t xml:space="preserve">9.3.1  </w:t>
      </w:r>
      <w:r>
        <w:rPr>
          <w:bCs/>
          <w:szCs w:val="21"/>
        </w:rPr>
        <w:t>浓度含量的表示</w:t>
      </w:r>
    </w:p>
    <w:p>
      <w:pPr>
        <w:spacing w:line="460" w:lineRule="exact"/>
        <w:ind w:firstLine="420" w:firstLineChars="200"/>
        <w:rPr>
          <w:bCs/>
          <w:szCs w:val="21"/>
        </w:rPr>
      </w:pPr>
      <w:r>
        <w:rPr>
          <w:rFonts w:hint="eastAsia"/>
          <w:bCs/>
          <w:szCs w:val="21"/>
        </w:rPr>
        <w:t>水和污水分析结果用</w:t>
      </w:r>
      <w:r>
        <w:rPr>
          <w:bCs/>
          <w:szCs w:val="21"/>
        </w:rPr>
        <w:t>mg/L表示，浓度较小时，则以μg/L表示，浓度很大时，例如COD</w:t>
      </w:r>
      <w:r>
        <w:rPr>
          <w:rFonts w:hint="eastAsia"/>
          <w:bCs/>
          <w:szCs w:val="21"/>
        </w:rPr>
        <w:t>为</w:t>
      </w:r>
      <w:r>
        <w:rPr>
          <w:bCs/>
          <w:szCs w:val="21"/>
        </w:rPr>
        <w:t>12345mg/L应以1.23×10</w:t>
      </w:r>
      <w:r>
        <w:rPr>
          <w:bCs/>
          <w:szCs w:val="21"/>
          <w:vertAlign w:val="superscript"/>
        </w:rPr>
        <w:t>4</w:t>
      </w:r>
      <w:r>
        <w:rPr>
          <w:bCs/>
          <w:szCs w:val="21"/>
        </w:rPr>
        <w:t>mg/L表示</w:t>
      </w:r>
      <w:r>
        <w:rPr>
          <w:rFonts w:hint="eastAsia"/>
          <w:bCs/>
          <w:szCs w:val="21"/>
        </w:rPr>
        <w:t>。</w:t>
      </w:r>
      <w:r>
        <w:rPr>
          <w:bCs/>
          <w:szCs w:val="21"/>
        </w:rPr>
        <w:t xml:space="preserve"> </w:t>
      </w:r>
    </w:p>
    <w:p>
      <w:pPr>
        <w:spacing w:line="460" w:lineRule="exact"/>
        <w:ind w:firstLine="420" w:firstLineChars="200"/>
        <w:rPr>
          <w:bCs/>
          <w:szCs w:val="21"/>
        </w:rPr>
      </w:pPr>
      <w:r>
        <w:rPr>
          <w:rFonts w:hint="eastAsia"/>
          <w:bCs/>
          <w:szCs w:val="21"/>
        </w:rPr>
        <w:t>p</w:t>
      </w:r>
      <w:r>
        <w:rPr>
          <w:bCs/>
          <w:szCs w:val="21"/>
        </w:rPr>
        <w:t>H</w:t>
      </w:r>
      <w:r>
        <w:rPr>
          <w:rFonts w:hint="eastAsia"/>
          <w:bCs/>
          <w:szCs w:val="21"/>
        </w:rPr>
        <w:t>值单位为无量纲，当测定结果小于1</w:t>
      </w:r>
      <w:r>
        <w:rPr>
          <w:bCs/>
          <w:szCs w:val="21"/>
        </w:rPr>
        <w:t>0</w:t>
      </w:r>
      <w:r>
        <w:rPr>
          <w:rFonts w:hint="eastAsia"/>
          <w:bCs/>
          <w:szCs w:val="21"/>
        </w:rPr>
        <w:t>时，保留小数点后两位；当测定结果大于1</w:t>
      </w:r>
      <w:r>
        <w:rPr>
          <w:bCs/>
          <w:szCs w:val="21"/>
        </w:rPr>
        <w:t>0</w:t>
      </w:r>
      <w:r>
        <w:rPr>
          <w:rFonts w:hint="eastAsia"/>
          <w:bCs/>
          <w:szCs w:val="21"/>
        </w:rPr>
        <w:t>时，保留三位有效数字。</w:t>
      </w:r>
    </w:p>
    <w:p>
      <w:pPr>
        <w:spacing w:line="460" w:lineRule="exact"/>
        <w:ind w:firstLine="420" w:firstLineChars="200"/>
        <w:rPr>
          <w:bCs/>
          <w:szCs w:val="21"/>
        </w:rPr>
      </w:pPr>
      <w:r>
        <w:rPr>
          <w:rFonts w:hint="eastAsia"/>
          <w:bCs/>
          <w:szCs w:val="21"/>
        </w:rPr>
        <w:t>粪大肠菌群分析方法为滤膜法时单位为C</w:t>
      </w:r>
      <w:r>
        <w:rPr>
          <w:bCs/>
          <w:szCs w:val="21"/>
        </w:rPr>
        <w:t>FU/L;</w:t>
      </w:r>
      <w:r>
        <w:rPr>
          <w:rFonts w:hint="eastAsia"/>
          <w:bCs/>
          <w:szCs w:val="21"/>
        </w:rPr>
        <w:t>分析方法为多管发酵法时单位为M</w:t>
      </w:r>
      <w:r>
        <w:rPr>
          <w:bCs/>
          <w:szCs w:val="21"/>
        </w:rPr>
        <w:t>PN/L</w:t>
      </w:r>
      <w:r>
        <w:rPr>
          <w:rFonts w:hint="eastAsia"/>
          <w:bCs/>
          <w:szCs w:val="21"/>
        </w:rPr>
        <w:t>。</w:t>
      </w:r>
    </w:p>
    <w:p>
      <w:pPr>
        <w:spacing w:line="460" w:lineRule="exact"/>
        <w:rPr>
          <w:bCs/>
          <w:szCs w:val="21"/>
        </w:rPr>
      </w:pPr>
      <w:r>
        <w:rPr>
          <w:rFonts w:ascii="黑体" w:hAnsi="黑体" w:eastAsia="黑体"/>
          <w:b/>
          <w:szCs w:val="21"/>
        </w:rPr>
        <w:t xml:space="preserve">9.3.2  </w:t>
      </w:r>
      <w:r>
        <w:rPr>
          <w:bCs/>
          <w:szCs w:val="21"/>
        </w:rPr>
        <w:t>双份平行测定结果在允许差范围之内，则结果以平均值表示。</w:t>
      </w:r>
    </w:p>
    <w:p>
      <w:pPr>
        <w:spacing w:line="460" w:lineRule="exact"/>
        <w:rPr>
          <w:bCs/>
          <w:szCs w:val="21"/>
        </w:rPr>
      </w:pPr>
      <w:r>
        <w:rPr>
          <w:rFonts w:ascii="黑体" w:hAnsi="黑体" w:eastAsia="黑体"/>
          <w:b/>
          <w:szCs w:val="21"/>
        </w:rPr>
        <w:t xml:space="preserve">9.3.3  </w:t>
      </w:r>
      <w:r>
        <w:rPr>
          <w:rFonts w:hint="eastAsia"/>
          <w:bCs/>
          <w:szCs w:val="21"/>
        </w:rPr>
        <w:t>测定结果的精密度表示</w:t>
      </w:r>
    </w:p>
    <w:p>
      <w:pPr>
        <w:spacing w:line="460" w:lineRule="exact"/>
        <w:ind w:firstLine="420" w:firstLineChars="200"/>
        <w:rPr>
          <w:bCs/>
          <w:szCs w:val="21"/>
        </w:rPr>
      </w:pPr>
      <w:r>
        <w:rPr>
          <w:bCs/>
          <w:szCs w:val="21"/>
        </w:rPr>
        <w:t>(1) 平行样的精密度用相对偏差表示。</w:t>
      </w:r>
    </w:p>
    <w:p>
      <w:pPr>
        <w:spacing w:line="460" w:lineRule="exact"/>
        <w:ind w:firstLine="420" w:firstLineChars="200"/>
        <w:rPr>
          <w:bCs/>
          <w:szCs w:val="21"/>
        </w:rPr>
      </w:pPr>
      <w:r>
        <w:rPr>
          <w:rFonts w:hint="eastAsia"/>
          <w:bCs/>
          <w:szCs w:val="21"/>
        </w:rPr>
        <w:t>平行双样相对偏差的计算方法：</w:t>
      </w:r>
    </w:p>
    <w:p>
      <w:pPr>
        <w:spacing w:line="460" w:lineRule="exact"/>
        <w:ind w:firstLine="420" w:firstLineChars="200"/>
        <w:rPr>
          <w:rFonts w:ascii="宋体" w:hAnsi="宋体" w:eastAsia="宋体"/>
          <w:szCs w:val="21"/>
        </w:rPr>
      </w:pPr>
      <w:r>
        <w:rPr>
          <w:rFonts w:hint="eastAsia" w:ascii="宋体" w:hAnsi="宋体" w:eastAsia="宋体"/>
          <w:szCs w:val="21"/>
        </w:rPr>
        <w:t>相对偏差</w:t>
      </w:r>
      <w:r>
        <w:rPr>
          <w:rFonts w:ascii="宋体" w:hAnsi="宋体" w:eastAsia="宋体"/>
          <w:szCs w:val="21"/>
        </w:rPr>
        <w:t xml:space="preserve"> </w:t>
      </w:r>
      <m:oMath>
        <m:d>
          <m:dPr>
            <m:ctrlPr>
              <w:rPr>
                <w:rFonts w:ascii="Cambria Math" w:hAnsi="Cambria Math"/>
                <w:i/>
                <w:szCs w:val="21"/>
              </w:rPr>
            </m:ctrlPr>
          </m:dPr>
          <m:e>
            <m:r>
              <w:rPr>
                <w:rFonts w:ascii="Cambria Math"/>
                <w:szCs w:val="21"/>
              </w:rPr>
              <m:t>%</m:t>
            </m:r>
            <m:ctrlPr>
              <w:rPr>
                <w:rFonts w:ascii="Cambria Math" w:hAnsi="Cambria Math"/>
                <w:i/>
                <w:szCs w:val="21"/>
              </w:rPr>
            </m:ctrlPr>
          </m:e>
        </m:d>
        <m:r>
          <w:rPr>
            <w:rFonts w:ascii="Cambria Math"/>
            <w:szCs w:val="21"/>
          </w:rPr>
          <m:t>=</m:t>
        </m:r>
        <m:f>
          <m:fPr>
            <m:ctrlPr>
              <w:rPr>
                <w:rFonts w:ascii="Cambria Math" w:hAnsi="Cambria Math"/>
                <w:i/>
                <w:szCs w:val="21"/>
              </w:rPr>
            </m:ctrlPr>
          </m:fPr>
          <m:num>
            <m:r>
              <w:rPr>
                <w:rFonts w:ascii="Cambria Math"/>
                <w:szCs w:val="21"/>
              </w:rPr>
              <m:t>A</m:t>
            </m:r>
            <m:r>
              <w:rPr>
                <w:rFonts w:hint="eastAsia" w:ascii="微软雅黑" w:hAnsi="微软雅黑" w:eastAsia="微软雅黑" w:cs="微软雅黑"/>
                <w:szCs w:val="21"/>
              </w:rPr>
              <m:t>-</m:t>
            </m:r>
            <m:r>
              <w:rPr>
                <w:rFonts w:ascii="Cambria Math"/>
                <w:szCs w:val="21"/>
              </w:rPr>
              <m:t>B</m:t>
            </m:r>
            <m:ctrlPr>
              <w:rPr>
                <w:rFonts w:ascii="Cambria Math" w:hAnsi="Cambria Math"/>
                <w:i/>
                <w:szCs w:val="21"/>
              </w:rPr>
            </m:ctrlPr>
          </m:num>
          <m:den>
            <m:r>
              <w:rPr>
                <w:rFonts w:ascii="Cambria Math"/>
                <w:szCs w:val="21"/>
              </w:rPr>
              <m:t>A+B</m:t>
            </m:r>
            <m:ctrlPr>
              <w:rPr>
                <w:rFonts w:ascii="Cambria Math" w:hAnsi="Cambria Math"/>
                <w:i/>
                <w:szCs w:val="21"/>
              </w:rPr>
            </m:ctrlPr>
          </m:den>
        </m:f>
        <m:r>
          <w:rPr>
            <w:rFonts w:ascii="Cambria Math"/>
            <w:szCs w:val="21"/>
          </w:rPr>
          <m:t>×100%</m:t>
        </m:r>
      </m:oMath>
    </w:p>
    <w:p>
      <w:pPr>
        <w:spacing w:line="460" w:lineRule="exact"/>
        <w:ind w:firstLine="420" w:firstLineChars="200"/>
        <w:rPr>
          <w:bCs/>
          <w:szCs w:val="21"/>
        </w:rPr>
      </w:pPr>
      <w:r>
        <w:rPr>
          <w:rFonts w:hint="eastAsia"/>
          <w:bCs/>
          <w:szCs w:val="21"/>
        </w:rPr>
        <w:t>式中：</w:t>
      </w:r>
      <w:r>
        <w:rPr>
          <w:bCs/>
          <w:szCs w:val="21"/>
        </w:rPr>
        <w:t>A、B——同一水样两次平行测定的结果。</w:t>
      </w:r>
    </w:p>
    <w:p>
      <w:pPr>
        <w:spacing w:line="460" w:lineRule="exact"/>
        <w:ind w:firstLine="420" w:firstLineChars="200"/>
        <w:rPr>
          <w:bCs/>
          <w:szCs w:val="21"/>
        </w:rPr>
      </w:pPr>
      <w:r>
        <w:rPr>
          <w:rFonts w:hint="eastAsia"/>
          <w:bCs/>
          <w:szCs w:val="21"/>
        </w:rPr>
        <w:t>多次平行测定结果相对偏差的计算方法：</w:t>
      </w:r>
    </w:p>
    <w:p>
      <w:pPr>
        <w:spacing w:line="460" w:lineRule="exact"/>
        <w:ind w:firstLine="420" w:firstLineChars="200"/>
        <w:rPr>
          <w:rFonts w:ascii="宋体" w:hAnsi="宋体" w:eastAsia="宋体"/>
          <w:szCs w:val="21"/>
        </w:rPr>
      </w:pPr>
      <w:r>
        <w:rPr>
          <w:rFonts w:hint="eastAsia" w:ascii="宋体" w:hAnsi="宋体" w:eastAsia="宋体"/>
          <w:szCs w:val="21"/>
        </w:rPr>
        <w:t>相对偏差</w:t>
      </w:r>
      <w:r>
        <w:rPr>
          <w:rFonts w:ascii="宋体" w:hAnsi="宋体" w:eastAsia="宋体"/>
          <w:szCs w:val="21"/>
        </w:rPr>
        <w:t xml:space="preserve"> </w:t>
      </w:r>
      <m:oMath>
        <m:d>
          <m:dPr>
            <m:ctrlPr>
              <w:rPr>
                <w:rFonts w:ascii="Cambria Math" w:hAnsi="Cambria Math"/>
                <w:i/>
                <w:szCs w:val="21"/>
              </w:rPr>
            </m:ctrlPr>
          </m:dPr>
          <m:e>
            <m:r>
              <w:rPr>
                <w:rFonts w:ascii="Cambria Math"/>
                <w:szCs w:val="21"/>
              </w:rPr>
              <m:t>%</m:t>
            </m:r>
            <m:ctrlPr>
              <w:rPr>
                <w:rFonts w:ascii="Cambria Math" w:hAnsi="Cambria Math"/>
                <w:i/>
                <w:szCs w:val="21"/>
              </w:rPr>
            </m:ctrlPr>
          </m:e>
        </m:d>
        <m:r>
          <w:rPr>
            <w:rFonts w:ascii="Cambria Math"/>
            <w:szCs w:val="21"/>
          </w:rPr>
          <m:t>=</m:t>
        </m:r>
        <m:f>
          <m:fPr>
            <m:ctrlPr>
              <w:rPr>
                <w:rFonts w:ascii="Cambria Math" w:hAnsi="Cambria Math"/>
                <w:i/>
                <w:szCs w:val="21"/>
              </w:rPr>
            </m:ctrlPr>
          </m:fPr>
          <m:num>
            <m:sSub>
              <m:sSubPr>
                <m:ctrlPr>
                  <w:rPr>
                    <w:rFonts w:ascii="Cambria Math" w:hAnsi="Cambria Math"/>
                    <w:i/>
                    <w:szCs w:val="21"/>
                  </w:rPr>
                </m:ctrlPr>
              </m:sSubPr>
              <m:e>
                <m:r>
                  <w:rPr>
                    <w:rFonts w:ascii="Cambria Math"/>
                    <w:szCs w:val="21"/>
                  </w:rPr>
                  <m:t>x</m:t>
                </m:r>
                <m:ctrlPr>
                  <w:rPr>
                    <w:rFonts w:ascii="Cambria Math" w:hAnsi="Cambria Math"/>
                    <w:i/>
                    <w:szCs w:val="21"/>
                  </w:rPr>
                </m:ctrlPr>
              </m:e>
              <m:sub>
                <m:r>
                  <w:rPr>
                    <w:rFonts w:ascii="Cambria Math"/>
                    <w:szCs w:val="21"/>
                  </w:rPr>
                  <m:t>i</m:t>
                </m:r>
                <m:ctrlPr>
                  <w:rPr>
                    <w:rFonts w:ascii="Cambria Math" w:hAnsi="Cambria Math"/>
                    <w:i/>
                    <w:szCs w:val="21"/>
                  </w:rPr>
                </m:ctrlPr>
              </m:sub>
            </m:sSub>
            <m:r>
              <w:rPr>
                <w:rFonts w:hint="eastAsia" w:ascii="微软雅黑" w:hAnsi="微软雅黑" w:eastAsia="微软雅黑" w:cs="微软雅黑"/>
                <w:szCs w:val="21"/>
              </w:rPr>
              <m:t>-</m:t>
            </m:r>
            <m:bar>
              <m:barPr>
                <m:pos m:val="top"/>
                <m:ctrlPr>
                  <w:rPr>
                    <w:rFonts w:ascii="Cambria Math" w:hAnsi="Cambria Math"/>
                    <w:i/>
                    <w:szCs w:val="21"/>
                  </w:rPr>
                </m:ctrlPr>
              </m:barPr>
              <m:e>
                <m:r>
                  <w:rPr>
                    <w:rFonts w:ascii="Cambria Math"/>
                    <w:szCs w:val="21"/>
                  </w:rPr>
                  <m:t>x</m:t>
                </m:r>
                <m:ctrlPr>
                  <w:rPr>
                    <w:rFonts w:ascii="Cambria Math" w:hAnsi="Cambria Math"/>
                    <w:i/>
                    <w:szCs w:val="21"/>
                  </w:rPr>
                </m:ctrlPr>
              </m:e>
            </m:bar>
            <m:ctrlPr>
              <w:rPr>
                <w:rFonts w:ascii="Cambria Math" w:hAnsi="Cambria Math"/>
                <w:i/>
                <w:szCs w:val="21"/>
              </w:rPr>
            </m:ctrlPr>
          </m:num>
          <m:den>
            <m:r>
              <w:rPr>
                <w:rFonts w:ascii="Cambria Math"/>
                <w:szCs w:val="21"/>
              </w:rPr>
              <m:t>x</m:t>
            </m:r>
            <m:ctrlPr>
              <w:rPr>
                <w:rFonts w:ascii="Cambria Math" w:hAnsi="Cambria Math"/>
                <w:i/>
                <w:szCs w:val="21"/>
              </w:rPr>
            </m:ctrlPr>
          </m:den>
        </m:f>
        <m:r>
          <w:rPr>
            <w:rFonts w:ascii="Cambria Math"/>
            <w:szCs w:val="21"/>
          </w:rPr>
          <m:t>×100%</m:t>
        </m:r>
      </m:oMath>
    </w:p>
    <w:p>
      <w:pPr>
        <w:spacing w:line="460" w:lineRule="exact"/>
        <w:ind w:firstLine="420" w:firstLineChars="200"/>
        <w:rPr>
          <w:bCs/>
          <w:szCs w:val="21"/>
        </w:rPr>
      </w:pPr>
      <w:r>
        <w:rPr>
          <w:rFonts w:hint="eastAsia"/>
          <w:bCs/>
          <w:szCs w:val="21"/>
        </w:rPr>
        <w:t>式中：</w:t>
      </w:r>
      <m:oMath>
        <m:sSub>
          <m:sSubPr>
            <m:ctrlPr>
              <w:rPr>
                <w:rFonts w:ascii="Cambria Math" w:hAnsi="Cambria Math"/>
                <w:bCs/>
                <w:szCs w:val="21"/>
              </w:rPr>
            </m:ctrlPr>
          </m:sSubPr>
          <m:e>
            <m:r>
              <w:rPr>
                <w:rFonts w:ascii="Cambria Math"/>
                <w:szCs w:val="21"/>
              </w:rPr>
              <m:t>x</m:t>
            </m:r>
            <m:ctrlPr>
              <w:rPr>
                <w:rFonts w:ascii="Cambria Math" w:hAnsi="Cambria Math"/>
                <w:bCs/>
                <w:szCs w:val="21"/>
              </w:rPr>
            </m:ctrlPr>
          </m:e>
          <m:sub>
            <m:r>
              <w:rPr>
                <w:rFonts w:ascii="Cambria Math"/>
                <w:szCs w:val="21"/>
              </w:rPr>
              <m:t>i</m:t>
            </m:r>
            <m:ctrlPr>
              <w:rPr>
                <w:rFonts w:ascii="Cambria Math" w:hAnsi="Cambria Math"/>
                <w:bCs/>
                <w:szCs w:val="21"/>
              </w:rPr>
            </m:ctrlPr>
          </m:sub>
        </m:sSub>
      </m:oMath>
      <w:r>
        <w:rPr>
          <w:bCs/>
          <w:szCs w:val="21"/>
        </w:rPr>
        <w:t xml:space="preserve"> ——某一测量值；</w:t>
      </w:r>
    </w:p>
    <w:p>
      <w:pPr>
        <w:spacing w:line="460" w:lineRule="exact"/>
        <w:ind w:firstLine="420" w:firstLineChars="200"/>
        <w:rPr>
          <w:bCs/>
          <w:szCs w:val="21"/>
        </w:rPr>
      </w:pPr>
      <w:r>
        <w:rPr>
          <w:bCs/>
          <w:szCs w:val="21"/>
        </w:rPr>
        <w:t xml:space="preserve">      </w:t>
      </w:r>
      <m:oMath>
        <m:sSub>
          <m:sSubPr>
            <m:ctrlPr>
              <w:rPr>
                <w:rFonts w:ascii="Cambria Math" w:hAnsi="Cambria Math"/>
                <w:bCs/>
                <w:szCs w:val="21"/>
              </w:rPr>
            </m:ctrlPr>
          </m:sSubPr>
          <m:e>
            <m:r>
              <w:rPr>
                <w:rFonts w:ascii="Cambria Math"/>
                <w:szCs w:val="21"/>
              </w:rPr>
              <m:t>x</m:t>
            </m:r>
            <m:ctrlPr>
              <w:rPr>
                <w:rFonts w:ascii="Cambria Math" w:hAnsi="Cambria Math"/>
                <w:bCs/>
                <w:szCs w:val="21"/>
              </w:rPr>
            </m:ctrlPr>
          </m:e>
          <m:sub>
            <m:r>
              <w:rPr>
                <w:rFonts w:ascii="Cambria Math"/>
                <w:szCs w:val="21"/>
              </w:rPr>
              <m:t>i</m:t>
            </m:r>
            <m:ctrlPr>
              <w:rPr>
                <w:rFonts w:ascii="Cambria Math" w:hAnsi="Cambria Math"/>
                <w:bCs/>
                <w:szCs w:val="21"/>
              </w:rPr>
            </m:ctrlPr>
          </m:sub>
        </m:sSub>
      </m:oMath>
      <w:r>
        <w:rPr>
          <w:rFonts w:hint="eastAsia"/>
          <w:bCs/>
          <w:szCs w:val="21"/>
        </w:rPr>
        <w:t xml:space="preserve"> </w:t>
      </w:r>
      <w:r>
        <w:rPr>
          <w:bCs/>
          <w:szCs w:val="21"/>
        </w:rPr>
        <w:t>——多次测量值的均值</w:t>
      </w:r>
    </w:p>
    <w:p>
      <w:pPr>
        <w:spacing w:line="460" w:lineRule="exact"/>
        <w:ind w:firstLine="420" w:firstLineChars="200"/>
        <w:rPr>
          <w:bCs/>
          <w:szCs w:val="21"/>
        </w:rPr>
      </w:pPr>
      <w:r>
        <w:rPr>
          <w:bCs/>
          <w:szCs w:val="21"/>
        </w:rPr>
        <w:t>(2) 一组测量值的精密度常用标准偏差或相对标准偏差表示。标准偏差或相对标准偏差的计算方法：</w:t>
      </w:r>
    </w:p>
    <w:p>
      <w:pPr>
        <w:spacing w:line="460" w:lineRule="exact"/>
        <w:ind w:firstLine="420" w:firstLineChars="200"/>
        <w:rPr>
          <w:rFonts w:ascii="宋体" w:hAnsi="宋体" w:eastAsia="宋体"/>
          <w:szCs w:val="21"/>
        </w:rPr>
      </w:pPr>
      <w:r>
        <w:rPr>
          <w:rFonts w:hint="eastAsia" w:ascii="宋体" w:hAnsi="宋体" w:eastAsia="宋体"/>
          <w:szCs w:val="21"/>
        </w:rPr>
        <w:t>标准偏差</w:t>
      </w:r>
      <w:r>
        <w:rPr>
          <w:rFonts w:ascii="宋体" w:hAnsi="宋体" w:eastAsia="宋体"/>
          <w:szCs w:val="21"/>
        </w:rPr>
        <w:t xml:space="preserve"> </w:t>
      </w:r>
      <m:oMath>
        <m:d>
          <m:dPr>
            <m:ctrlPr>
              <w:rPr>
                <w:rFonts w:ascii="Cambria Math" w:hAnsi="Cambria Math"/>
                <w:i/>
                <w:szCs w:val="21"/>
              </w:rPr>
            </m:ctrlPr>
          </m:dPr>
          <m:e>
            <m:r>
              <w:rPr>
                <w:rFonts w:ascii="Cambria Math"/>
                <w:szCs w:val="21"/>
              </w:rPr>
              <m:t>s</m:t>
            </m:r>
            <m:ctrlPr>
              <w:rPr>
                <w:rFonts w:ascii="Cambria Math" w:hAnsi="Cambria Math"/>
                <w:i/>
                <w:szCs w:val="21"/>
              </w:rPr>
            </m:ctrlPr>
          </m:e>
        </m:d>
        <m:r>
          <w:rPr>
            <w:rFonts w:ascii="Cambria Math"/>
            <w:szCs w:val="21"/>
          </w:rPr>
          <m:t>=</m:t>
        </m:r>
        <m:rad>
          <m:radPr>
            <m:degHide m:val="1"/>
            <m:ctrlPr>
              <w:rPr>
                <w:rFonts w:ascii="Cambria Math" w:hAnsi="Cambria Math"/>
                <w:i/>
                <w:szCs w:val="21"/>
              </w:rPr>
            </m:ctrlPr>
          </m:radPr>
          <m:deg>
            <m:ctrlPr>
              <w:rPr>
                <w:rFonts w:ascii="Cambria Math" w:hAnsi="Cambria Math"/>
                <w:i/>
                <w:szCs w:val="21"/>
              </w:rPr>
            </m:ctrlPr>
          </m:deg>
          <m:e>
            <m:f>
              <m:fPr>
                <m:ctrlPr>
                  <w:rPr>
                    <w:rFonts w:ascii="Cambria Math" w:hAnsi="Cambria Math"/>
                    <w:i/>
                    <w:szCs w:val="21"/>
                  </w:rPr>
                </m:ctrlPr>
              </m:fPr>
              <m:num>
                <m:r>
                  <w:rPr>
                    <w:rFonts w:ascii="Cambria Math"/>
                    <w:szCs w:val="21"/>
                  </w:rPr>
                  <m:t>1</m:t>
                </m:r>
                <m:ctrlPr>
                  <w:rPr>
                    <w:rFonts w:ascii="Cambria Math" w:hAnsi="Cambria Math"/>
                    <w:i/>
                    <w:szCs w:val="21"/>
                  </w:rPr>
                </m:ctrlPr>
              </m:num>
              <m:den>
                <m:r>
                  <w:rPr>
                    <w:rFonts w:ascii="Cambria Math"/>
                    <w:szCs w:val="21"/>
                  </w:rPr>
                  <m:t>n</m:t>
                </m:r>
                <m:r>
                  <m:rPr>
                    <m:nor/>
                    <m:sty m:val="p"/>
                  </m:rPr>
                  <w:rPr>
                    <w:rFonts w:ascii="Cambria Math"/>
                    <w:b w:val="0"/>
                    <w:i w:val="0"/>
                    <w:szCs w:val="21"/>
                  </w:rPr>
                  <m:t>-1</m:t>
                </m:r>
                <m:ctrlPr>
                  <w:rPr>
                    <w:rFonts w:ascii="Cambria Math" w:hAnsi="Cambria Math"/>
                    <w:szCs w:val="21"/>
                  </w:rPr>
                </m:ctrlPr>
              </m:den>
            </m:f>
            <m:nary>
              <m:naryPr>
                <m:chr m:val="∑"/>
                <m:ctrlPr>
                  <w:rPr>
                    <w:rFonts w:ascii="Cambria Math" w:hAnsi="Cambria Math"/>
                    <w:i/>
                    <w:szCs w:val="21"/>
                  </w:rPr>
                </m:ctrlPr>
              </m:naryPr>
              <m:sub>
                <m:r>
                  <w:rPr>
                    <w:rFonts w:ascii="Cambria Math"/>
                    <w:szCs w:val="21"/>
                  </w:rPr>
                  <m:t>i=1</m:t>
                </m:r>
                <m:ctrlPr>
                  <w:rPr>
                    <w:rFonts w:ascii="Cambria Math" w:hAnsi="Cambria Math"/>
                    <w:i/>
                    <w:szCs w:val="21"/>
                  </w:rPr>
                </m:ctrlPr>
              </m:sub>
              <m:sup>
                <m:r>
                  <w:rPr>
                    <w:rFonts w:ascii="Cambria Math"/>
                    <w:szCs w:val="21"/>
                  </w:rPr>
                  <m:t>n</m:t>
                </m:r>
                <m:ctrlPr>
                  <w:rPr>
                    <w:rFonts w:ascii="Cambria Math" w:hAnsi="Cambria Math"/>
                    <w:i/>
                    <w:szCs w:val="21"/>
                  </w:rPr>
                </m:ctrlPr>
              </m:sup>
              <m:e>
                <m:r>
                  <w:rPr>
                    <w:rFonts w:ascii="Cambria Math"/>
                    <w:szCs w:val="21"/>
                  </w:rPr>
                  <m:t>(</m:t>
                </m:r>
                <m:sSub>
                  <m:sSubPr>
                    <m:ctrlPr>
                      <w:rPr>
                        <w:rFonts w:ascii="Cambria Math" w:hAnsi="Cambria Math"/>
                        <w:i/>
                        <w:szCs w:val="21"/>
                      </w:rPr>
                    </m:ctrlPr>
                  </m:sSubPr>
                  <m:e>
                    <m:r>
                      <w:rPr>
                        <w:rFonts w:ascii="Cambria Math"/>
                        <w:szCs w:val="21"/>
                      </w:rPr>
                      <m:t>x</m:t>
                    </m:r>
                    <m:ctrlPr>
                      <w:rPr>
                        <w:rFonts w:ascii="Cambria Math" w:hAnsi="Cambria Math"/>
                        <w:i/>
                        <w:szCs w:val="21"/>
                      </w:rPr>
                    </m:ctrlPr>
                  </m:e>
                  <m:sub>
                    <m:r>
                      <w:rPr>
                        <w:rFonts w:ascii="Cambria Math"/>
                        <w:szCs w:val="21"/>
                      </w:rPr>
                      <m:t>i</m:t>
                    </m:r>
                    <m:ctrlPr>
                      <w:rPr>
                        <w:rFonts w:ascii="Cambria Math" w:hAnsi="Cambria Math"/>
                        <w:i/>
                        <w:szCs w:val="21"/>
                      </w:rPr>
                    </m:ctrlPr>
                  </m:sub>
                </m:sSub>
                <m:r>
                  <w:rPr>
                    <w:rFonts w:hint="eastAsia" w:ascii="微软雅黑" w:hAnsi="微软雅黑" w:eastAsia="微软雅黑" w:cs="微软雅黑"/>
                    <w:szCs w:val="21"/>
                  </w:rPr>
                  <m:t>-</m:t>
                </m:r>
                <m:bar>
                  <m:barPr>
                    <m:pos m:val="top"/>
                    <m:ctrlPr>
                      <w:rPr>
                        <w:rFonts w:ascii="Cambria Math" w:hAnsi="Cambria Math"/>
                        <w:i/>
                        <w:szCs w:val="21"/>
                      </w:rPr>
                    </m:ctrlPr>
                  </m:barPr>
                  <m:e>
                    <m:r>
                      <w:rPr>
                        <w:rFonts w:ascii="Cambria Math"/>
                        <w:szCs w:val="21"/>
                      </w:rPr>
                      <m:t>x</m:t>
                    </m:r>
                    <m:ctrlPr>
                      <w:rPr>
                        <w:rFonts w:ascii="Cambria Math" w:hAnsi="Cambria Math"/>
                        <w:i/>
                        <w:szCs w:val="21"/>
                      </w:rPr>
                    </m:ctrlPr>
                  </m:e>
                </m:bar>
                <m:sSup>
                  <m:sSupPr>
                    <m:ctrlPr>
                      <w:rPr>
                        <w:rFonts w:ascii="Cambria Math" w:hAnsi="Cambria Math"/>
                        <w:i/>
                        <w:szCs w:val="21"/>
                      </w:rPr>
                    </m:ctrlPr>
                  </m:sSupPr>
                  <m:e>
                    <m:r>
                      <w:rPr>
                        <w:rFonts w:ascii="Cambria Math"/>
                        <w:szCs w:val="21"/>
                      </w:rPr>
                      <m:t>)</m:t>
                    </m:r>
                    <m:ctrlPr>
                      <w:rPr>
                        <w:rFonts w:ascii="Cambria Math" w:hAnsi="Cambria Math"/>
                        <w:i/>
                        <w:szCs w:val="21"/>
                      </w:rPr>
                    </m:ctrlPr>
                  </m:e>
                  <m:sup>
                    <m:r>
                      <w:rPr>
                        <w:rFonts w:ascii="Cambria Math"/>
                        <w:szCs w:val="21"/>
                      </w:rPr>
                      <m:t>2</m:t>
                    </m:r>
                    <m:ctrlPr>
                      <w:rPr>
                        <w:rFonts w:ascii="Cambria Math" w:hAnsi="Cambria Math"/>
                        <w:i/>
                        <w:szCs w:val="21"/>
                      </w:rPr>
                    </m:ctrlPr>
                  </m:sup>
                </m:sSup>
                <m:ctrlPr>
                  <w:rPr>
                    <w:rFonts w:ascii="Cambria Math" w:hAnsi="Cambria Math"/>
                    <w:i/>
                    <w:szCs w:val="21"/>
                  </w:rPr>
                </m:ctrlPr>
              </m:e>
            </m:nary>
            <m:ctrlPr>
              <w:rPr>
                <w:rFonts w:ascii="Cambria Math" w:hAnsi="Cambria Math"/>
                <w:i/>
                <w:szCs w:val="21"/>
              </w:rPr>
            </m:ctrlPr>
          </m:e>
        </m:rad>
      </m:oMath>
    </w:p>
    <w:p>
      <w:pPr>
        <w:spacing w:line="460" w:lineRule="exact"/>
        <w:ind w:firstLine="420" w:firstLineChars="200"/>
        <w:rPr>
          <w:rFonts w:ascii="宋体" w:hAnsi="宋体" w:eastAsia="宋体"/>
          <w:szCs w:val="21"/>
        </w:rPr>
      </w:pPr>
      <w:r>
        <w:rPr>
          <w:rFonts w:hint="eastAsia" w:ascii="宋体" w:hAnsi="宋体" w:eastAsia="宋体"/>
          <w:szCs w:val="21"/>
        </w:rPr>
        <w:t>相对标准偏差</w:t>
      </w:r>
      <w:r>
        <w:rPr>
          <w:rFonts w:ascii="宋体" w:hAnsi="宋体" w:eastAsia="宋体"/>
          <w:szCs w:val="21"/>
        </w:rPr>
        <w:t xml:space="preserve"> </w:t>
      </w:r>
      <m:oMath>
        <m:r>
          <w:rPr>
            <w:rFonts w:ascii="Cambria Math"/>
            <w:szCs w:val="21"/>
          </w:rPr>
          <m:t>(RSD,%)=(s/</m:t>
        </m:r>
        <m:bar>
          <m:barPr>
            <m:pos m:val="top"/>
            <m:ctrlPr>
              <w:rPr>
                <w:rFonts w:ascii="Cambria Math" w:hAnsi="Cambria Math"/>
                <w:i/>
                <w:szCs w:val="21"/>
              </w:rPr>
            </m:ctrlPr>
          </m:barPr>
          <m:e>
            <m:r>
              <w:rPr>
                <w:rFonts w:ascii="Cambria Math"/>
                <w:szCs w:val="21"/>
              </w:rPr>
              <m:t>x</m:t>
            </m:r>
            <m:ctrlPr>
              <w:rPr>
                <w:rFonts w:ascii="Cambria Math" w:hAnsi="Cambria Math"/>
                <w:i/>
                <w:szCs w:val="21"/>
              </w:rPr>
            </m:ctrlPr>
          </m:e>
        </m:bar>
        <m:r>
          <w:rPr>
            <w:rFonts w:ascii="Cambria Math"/>
            <w:szCs w:val="21"/>
          </w:rPr>
          <m:t>)×100</m:t>
        </m:r>
      </m:oMath>
    </w:p>
    <w:p>
      <w:pPr>
        <w:spacing w:line="460" w:lineRule="exact"/>
        <w:ind w:firstLine="420" w:firstLineChars="200"/>
        <w:rPr>
          <w:bCs/>
          <w:szCs w:val="21"/>
        </w:rPr>
      </w:pPr>
      <w:r>
        <w:rPr>
          <w:rFonts w:hint="eastAsia"/>
          <w:bCs/>
          <w:szCs w:val="21"/>
        </w:rPr>
        <w:t>式中：</w:t>
      </w:r>
      <m:oMath>
        <m:sSub>
          <m:sSubPr>
            <m:ctrlPr>
              <w:rPr>
                <w:rFonts w:ascii="Cambria Math" w:hAnsi="Cambria Math"/>
                <w:bCs/>
                <w:szCs w:val="21"/>
              </w:rPr>
            </m:ctrlPr>
          </m:sSubPr>
          <m:e>
            <m:r>
              <w:rPr>
                <w:rFonts w:ascii="Cambria Math"/>
                <w:szCs w:val="21"/>
              </w:rPr>
              <m:t>x</m:t>
            </m:r>
            <m:ctrlPr>
              <w:rPr>
                <w:rFonts w:ascii="Cambria Math" w:hAnsi="Cambria Math"/>
                <w:bCs/>
                <w:szCs w:val="21"/>
              </w:rPr>
            </m:ctrlPr>
          </m:e>
          <m:sub>
            <m:r>
              <w:rPr>
                <w:rFonts w:ascii="Cambria Math"/>
                <w:szCs w:val="21"/>
              </w:rPr>
              <m:t>i</m:t>
            </m:r>
            <m:ctrlPr>
              <w:rPr>
                <w:rFonts w:ascii="Cambria Math" w:hAnsi="Cambria Math"/>
                <w:bCs/>
                <w:szCs w:val="21"/>
              </w:rPr>
            </m:ctrlPr>
          </m:sub>
        </m:sSub>
      </m:oMath>
      <w:r>
        <w:rPr>
          <w:bCs/>
          <w:szCs w:val="21"/>
        </w:rPr>
        <w:t xml:space="preserve"> —— 某一测量值；</w:t>
      </w:r>
    </w:p>
    <w:p>
      <w:pPr>
        <w:spacing w:line="460" w:lineRule="exact"/>
        <w:ind w:firstLine="420" w:firstLineChars="200"/>
        <w:rPr>
          <w:bCs/>
          <w:szCs w:val="21"/>
        </w:rPr>
      </w:pPr>
      <w:r>
        <w:rPr>
          <w:bCs/>
          <w:szCs w:val="21"/>
        </w:rPr>
        <w:t xml:space="preserve">      </w:t>
      </w:r>
      <m:oMath>
        <m:bar>
          <m:barPr>
            <m:pos m:val="top"/>
            <m:ctrlPr>
              <w:rPr>
                <w:rFonts w:ascii="Cambria Math" w:hAnsi="Cambria Math"/>
                <w:bCs/>
                <w:szCs w:val="21"/>
              </w:rPr>
            </m:ctrlPr>
          </m:barPr>
          <m:e>
            <m:r>
              <w:rPr>
                <w:rFonts w:ascii="Cambria Math"/>
                <w:szCs w:val="21"/>
              </w:rPr>
              <m:t>x</m:t>
            </m:r>
            <m:ctrlPr>
              <w:rPr>
                <w:rFonts w:ascii="Cambria Math" w:hAnsi="Cambria Math"/>
                <w:bCs/>
                <w:szCs w:val="21"/>
              </w:rPr>
            </m:ctrlPr>
          </m:e>
        </m:bar>
      </m:oMath>
      <w:r>
        <w:rPr>
          <w:bCs/>
          <w:szCs w:val="21"/>
        </w:rPr>
        <w:t xml:space="preserve"> —— 一组测量值的平均值；</w:t>
      </w:r>
    </w:p>
    <w:p>
      <w:pPr>
        <w:spacing w:line="460" w:lineRule="exact"/>
        <w:ind w:firstLine="420" w:firstLineChars="200"/>
        <w:rPr>
          <w:bCs/>
          <w:szCs w:val="21"/>
        </w:rPr>
      </w:pPr>
      <w:r>
        <w:rPr>
          <w:bCs/>
          <w:szCs w:val="21"/>
        </w:rPr>
        <w:t xml:space="preserve">      n ——测量次数。</w:t>
      </w:r>
    </w:p>
    <w:p>
      <w:pPr>
        <w:spacing w:line="460" w:lineRule="exact"/>
        <w:rPr>
          <w:bCs/>
          <w:szCs w:val="21"/>
        </w:rPr>
      </w:pPr>
      <w:r>
        <w:rPr>
          <w:rFonts w:ascii="黑体" w:hAnsi="黑体" w:eastAsia="黑体"/>
          <w:b/>
          <w:szCs w:val="21"/>
        </w:rPr>
        <w:t xml:space="preserve">9.3.4  </w:t>
      </w:r>
      <w:r>
        <w:rPr>
          <w:bCs/>
          <w:szCs w:val="21"/>
        </w:rPr>
        <w:t>测定结果的准确度表示</w:t>
      </w:r>
    </w:p>
    <w:p>
      <w:pPr>
        <w:spacing w:line="460" w:lineRule="exact"/>
        <w:ind w:firstLine="420" w:firstLineChars="200"/>
        <w:rPr>
          <w:bCs/>
          <w:szCs w:val="21"/>
        </w:rPr>
      </w:pPr>
      <w:r>
        <w:rPr>
          <w:bCs/>
          <w:szCs w:val="21"/>
        </w:rPr>
        <w:t>(1) 以加标回收率表示时的计算式：</w:t>
      </w:r>
    </w:p>
    <w:p>
      <w:pPr>
        <w:spacing w:line="460" w:lineRule="exact"/>
        <w:ind w:firstLine="420" w:firstLineChars="200"/>
        <w:rPr>
          <w:rFonts w:ascii="宋体" w:hAnsi="宋体" w:eastAsia="宋体"/>
          <w:szCs w:val="21"/>
        </w:rPr>
      </w:pPr>
      <w:r>
        <w:rPr>
          <w:rFonts w:hint="eastAsia" w:ascii="宋体" w:hAnsi="宋体" w:eastAsia="宋体"/>
          <w:szCs w:val="21"/>
        </w:rPr>
        <w:t>回收率</w:t>
      </w:r>
      <w:r>
        <w:rPr>
          <w:rFonts w:ascii="宋体" w:hAnsi="宋体" w:eastAsia="宋体"/>
          <w:szCs w:val="21"/>
        </w:rPr>
        <w:t xml:space="preserve"> </w:t>
      </w:r>
      <m:oMath>
        <m:d>
          <m:dPr>
            <m:ctrlPr>
              <w:rPr>
                <w:rFonts w:ascii="Cambria Math" w:hAnsi="Cambria Math"/>
                <w:i/>
                <w:szCs w:val="22"/>
              </w:rPr>
            </m:ctrlPr>
          </m:dPr>
          <m:e>
            <m:r>
              <w:rPr>
                <w:rFonts w:ascii="Cambria Math"/>
                <w:szCs w:val="22"/>
              </w:rPr>
              <m:t>P,%</m:t>
            </m:r>
            <m:ctrlPr>
              <w:rPr>
                <w:rFonts w:ascii="Cambria Math" w:hAnsi="Cambria Math"/>
                <w:i/>
                <w:szCs w:val="22"/>
              </w:rPr>
            </m:ctrlPr>
          </m:e>
        </m:d>
        <m:r>
          <w:rPr>
            <w:rFonts w:ascii="Cambria Math"/>
            <w:szCs w:val="22"/>
          </w:rPr>
          <m:t>=</m:t>
        </m:r>
        <m:f>
          <m:fPr>
            <m:ctrlPr>
              <w:rPr>
                <w:rFonts w:ascii="Cambria Math" w:hAnsi="Cambria Math"/>
                <w:iCs/>
                <w:szCs w:val="22"/>
              </w:rPr>
            </m:ctrlPr>
          </m:fPr>
          <m:num>
            <m:r>
              <m:rPr>
                <m:sty m:val="p"/>
              </m:rPr>
              <w:rPr>
                <w:rFonts w:ascii="Cambria Math"/>
                <w:szCs w:val="22"/>
              </w:rPr>
              <m:t>加标试样的测定值</m:t>
            </m:r>
            <m:r>
              <m:rPr>
                <m:sty m:val="p"/>
              </m:rPr>
              <w:rPr>
                <w:rFonts w:hint="eastAsia" w:ascii="Cambria Math" w:hAnsi="Cambria Math" w:eastAsia="微软雅黑" w:cs="微软雅黑"/>
                <w:szCs w:val="22"/>
              </w:rPr>
              <m:t>-</m:t>
            </m:r>
            <m:r>
              <m:rPr>
                <m:sty m:val="p"/>
              </m:rPr>
              <w:rPr>
                <w:rFonts w:ascii="Cambria Math"/>
                <w:szCs w:val="22"/>
              </w:rPr>
              <m:t>试样测定值</m:t>
            </m:r>
            <m:ctrlPr>
              <w:rPr>
                <w:rFonts w:ascii="Cambria Math" w:hAnsi="Cambria Math"/>
                <w:iCs/>
                <w:szCs w:val="22"/>
              </w:rPr>
            </m:ctrlPr>
          </m:num>
          <m:den>
            <m:r>
              <m:rPr>
                <m:sty m:val="p"/>
              </m:rPr>
              <w:rPr>
                <w:rFonts w:ascii="Cambria Math"/>
                <w:szCs w:val="22"/>
              </w:rPr>
              <m:t>加标量</m:t>
            </m:r>
            <m:ctrlPr>
              <w:rPr>
                <w:rFonts w:ascii="Cambria Math" w:hAnsi="Cambria Math"/>
                <w:iCs/>
                <w:szCs w:val="22"/>
              </w:rPr>
            </m:ctrlPr>
          </m:den>
        </m:f>
        <m:r>
          <w:rPr>
            <w:rFonts w:ascii="Cambria Math"/>
            <w:szCs w:val="22"/>
          </w:rPr>
          <m:t>×100</m:t>
        </m:r>
      </m:oMath>
    </w:p>
    <w:p>
      <w:pPr>
        <w:spacing w:line="460" w:lineRule="exact"/>
        <w:ind w:firstLine="420" w:firstLineChars="200"/>
        <w:rPr>
          <w:bCs/>
          <w:szCs w:val="21"/>
        </w:rPr>
      </w:pPr>
      <w:r>
        <w:rPr>
          <w:bCs/>
          <w:szCs w:val="21"/>
        </w:rPr>
        <w:t>(2) 根据标准物质的测定结果，以相对误差表示时的计算式：</w:t>
      </w:r>
    </w:p>
    <w:p>
      <w:pPr>
        <w:autoSpaceDE w:val="0"/>
        <w:autoSpaceDN w:val="0"/>
        <w:adjustRightInd w:val="0"/>
        <w:spacing w:beforeLines="50" w:afterLines="50" w:line="360" w:lineRule="auto"/>
        <w:ind w:firstLine="420"/>
        <w:jc w:val="center"/>
        <w:rPr>
          <w:rFonts w:ascii="宋体" w:hAnsi="宋体" w:eastAsia="宋体"/>
          <w:szCs w:val="22"/>
        </w:rPr>
      </w:pPr>
      <w:r>
        <w:rPr>
          <w:rFonts w:hint="eastAsia" w:ascii="宋体" w:hAnsi="宋体" w:eastAsia="宋体"/>
          <w:szCs w:val="21"/>
        </w:rPr>
        <w:t>相对误差</w:t>
      </w:r>
      <m:oMath>
        <m:r>
          <m:rPr>
            <m:sty m:val="p"/>
          </m:rPr>
          <w:rPr>
            <w:rFonts w:ascii="Cambria Math" w:hAnsi="Cambria Math" w:eastAsia="宋体"/>
            <w:szCs w:val="21"/>
          </w:rPr>
          <m:t xml:space="preserve"> </m:t>
        </m:r>
        <m:r>
          <w:rPr>
            <w:rFonts w:ascii="Cambria Math"/>
            <w:szCs w:val="22"/>
          </w:rPr>
          <m:t>(%)=</m:t>
        </m:r>
        <m:f>
          <m:fPr>
            <m:ctrlPr>
              <w:rPr>
                <w:rFonts w:ascii="Cambria Math" w:hAnsi="Cambria Math"/>
                <w:iCs/>
                <w:szCs w:val="22"/>
              </w:rPr>
            </m:ctrlPr>
          </m:fPr>
          <m:num>
            <m:r>
              <m:rPr>
                <m:sty m:val="p"/>
              </m:rPr>
              <w:rPr>
                <w:rFonts w:ascii="Cambria Math"/>
                <w:szCs w:val="22"/>
              </w:rPr>
              <m:t>测定值</m:t>
            </m:r>
            <m:r>
              <m:rPr>
                <m:sty m:val="p"/>
              </m:rPr>
              <w:rPr>
                <w:rFonts w:hint="eastAsia" w:ascii="Cambria Math" w:hAnsi="Cambria Math" w:eastAsia="微软雅黑" w:cs="微软雅黑"/>
                <w:szCs w:val="22"/>
              </w:rPr>
              <m:t>-</m:t>
            </m:r>
            <m:r>
              <m:rPr>
                <m:sty m:val="p"/>
              </m:rPr>
              <w:rPr>
                <w:rFonts w:ascii="Cambria Math"/>
                <w:szCs w:val="22"/>
              </w:rPr>
              <m:t>保证值</m:t>
            </m:r>
            <m:ctrlPr>
              <w:rPr>
                <w:rFonts w:ascii="Cambria Math" w:hAnsi="Cambria Math"/>
                <w:iCs/>
                <w:szCs w:val="22"/>
              </w:rPr>
            </m:ctrlPr>
          </m:num>
          <m:den>
            <m:r>
              <m:rPr>
                <m:sty m:val="p"/>
              </m:rPr>
              <w:rPr>
                <w:rFonts w:ascii="Cambria Math"/>
                <w:szCs w:val="22"/>
              </w:rPr>
              <m:t>保证值</m:t>
            </m:r>
            <m:ctrlPr>
              <w:rPr>
                <w:rFonts w:ascii="Cambria Math" w:hAnsi="Cambria Math"/>
                <w:iCs/>
                <w:szCs w:val="22"/>
              </w:rPr>
            </m:ctrlPr>
          </m:den>
        </m:f>
        <m:r>
          <w:rPr>
            <w:rFonts w:ascii="Cambria Math"/>
            <w:szCs w:val="22"/>
          </w:rPr>
          <m:t>×100</m:t>
        </m:r>
      </m:oMath>
    </w:p>
    <w:p>
      <w:pPr>
        <w:spacing w:line="460" w:lineRule="exact"/>
        <w:ind w:firstLine="420" w:firstLineChars="200"/>
        <w:rPr>
          <w:rFonts w:ascii="宋体" w:hAnsi="宋体" w:eastAsia="宋体"/>
          <w:szCs w:val="22"/>
        </w:rPr>
      </w:pPr>
    </w:p>
    <w:p>
      <w:pPr>
        <w:spacing w:line="576" w:lineRule="auto"/>
        <w:rPr>
          <w:rFonts w:ascii="黑体" w:hAnsi="黑体" w:eastAsia="黑体"/>
          <w:b/>
          <w:szCs w:val="21"/>
        </w:rPr>
      </w:pPr>
      <w:bookmarkStart w:id="39" w:name="_Toc34083606"/>
      <w:r>
        <w:rPr>
          <w:rFonts w:ascii="黑体" w:hAnsi="黑体" w:eastAsia="黑体"/>
          <w:b/>
          <w:szCs w:val="21"/>
        </w:rPr>
        <w:t>9.4  检测报告的应用</w:t>
      </w:r>
      <w:bookmarkEnd w:id="39"/>
    </w:p>
    <w:p>
      <w:pPr>
        <w:spacing w:line="460" w:lineRule="exact"/>
        <w:ind w:firstLine="420" w:firstLineChars="200"/>
        <w:rPr>
          <w:rFonts w:ascii="宋体" w:hAnsi="宋体" w:eastAsia="宋体"/>
          <w:szCs w:val="22"/>
        </w:rPr>
      </w:pPr>
      <w:r>
        <w:rPr>
          <w:rFonts w:hint="eastAsia"/>
        </w:rPr>
        <w:t>在未取得计量认证资质认定证书（C</w:t>
      </w:r>
      <w:r>
        <w:t>MA</w:t>
      </w:r>
      <w:r>
        <w:rPr>
          <w:rFonts w:hint="eastAsia"/>
        </w:rPr>
        <w:t>）前出具的检测报告数据只能用于内部参考。</w:t>
      </w:r>
    </w:p>
    <w:p>
      <w:pPr>
        <w:pStyle w:val="2"/>
        <w:spacing w:before="0" w:after="0"/>
        <w:rPr>
          <w:rFonts w:ascii="黑体" w:hAnsi="黑体" w:eastAsia="黑体"/>
          <w:bCs/>
          <w:sz w:val="21"/>
          <w:szCs w:val="21"/>
        </w:rPr>
      </w:pPr>
      <w:bookmarkStart w:id="40" w:name="_Toc34083607"/>
      <w:r>
        <w:rPr>
          <w:rFonts w:ascii="黑体" w:hAnsi="黑体" w:eastAsia="黑体"/>
          <w:bCs/>
          <w:sz w:val="21"/>
          <w:szCs w:val="21"/>
        </w:rPr>
        <w:t xml:space="preserve">10  </w:t>
      </w:r>
      <w:r>
        <w:rPr>
          <w:rFonts w:hint="eastAsia" w:ascii="黑体" w:hAnsi="黑体" w:eastAsia="黑体"/>
          <w:bCs/>
          <w:sz w:val="21"/>
          <w:szCs w:val="21"/>
        </w:rPr>
        <w:t>检测化验室人员配备</w:t>
      </w:r>
      <w:bookmarkEnd w:id="40"/>
    </w:p>
    <w:p>
      <w:pPr>
        <w:spacing w:line="460" w:lineRule="exact"/>
        <w:ind w:firstLine="420" w:firstLineChars="200"/>
        <w:rPr>
          <w:bCs/>
          <w:szCs w:val="21"/>
        </w:rPr>
      </w:pPr>
      <w:r>
        <w:rPr>
          <w:rFonts w:hint="eastAsia"/>
          <w:szCs w:val="21"/>
        </w:rPr>
        <w:t>检测化验室人员要求，化</w:t>
      </w:r>
      <w:r>
        <w:rPr>
          <w:rFonts w:hint="eastAsia"/>
          <w:bCs/>
          <w:szCs w:val="21"/>
        </w:rPr>
        <w:t>验室要有最高管理者，管理人员，技术人员三类人员。</w:t>
      </w:r>
    </w:p>
    <w:p>
      <w:pPr>
        <w:spacing w:line="460" w:lineRule="exact"/>
        <w:ind w:firstLine="420" w:firstLineChars="200"/>
        <w:rPr>
          <w:bCs/>
          <w:szCs w:val="21"/>
        </w:rPr>
      </w:pPr>
      <w:r>
        <w:rPr>
          <w:rFonts w:hint="eastAsia"/>
          <w:bCs/>
          <w:szCs w:val="21"/>
        </w:rPr>
        <w:t>（1）化验室最高管理者，要求大专以上学历，或相当于大专学历，必须能承担法律责任。</w:t>
      </w:r>
    </w:p>
    <w:p>
      <w:pPr>
        <w:spacing w:line="460" w:lineRule="exact"/>
        <w:ind w:firstLine="420" w:firstLineChars="200"/>
        <w:rPr>
          <w:bCs/>
          <w:szCs w:val="21"/>
        </w:rPr>
      </w:pPr>
      <w:r>
        <w:rPr>
          <w:rFonts w:hint="eastAsia"/>
          <w:bCs/>
          <w:szCs w:val="21"/>
        </w:rPr>
        <w:t>（2）化验室管理人员（质量负责人，技术负责人），人员要求是环境检测、化学分析、工业分析、化工类等相关专业毕业。要求大专以上学历，或相当于大专学历，在相关领域从业3年以上，熟悉有关检测标准，试验方法。熟悉记录、报告及检测程序，监督、指导日常业务，签署报告，需对检测报告完整性和准确性负责。了解有关设备维护保养及定期检定或校准的规定，掌握设备校准状态，了解相关法律法规，能有效控制检测报告的质量水平，对签发的报告签字确认，并对发出的检测报告负责。并定期参加相关领域培训。</w:t>
      </w:r>
    </w:p>
    <w:p>
      <w:pPr>
        <w:spacing w:line="460" w:lineRule="exact"/>
        <w:ind w:firstLine="420" w:firstLineChars="200"/>
        <w:rPr>
          <w:bCs/>
          <w:szCs w:val="21"/>
        </w:rPr>
      </w:pPr>
      <w:r>
        <w:rPr>
          <w:rFonts w:hint="eastAsia"/>
          <w:bCs/>
          <w:szCs w:val="21"/>
        </w:rPr>
        <w:t>（3）化验室技术人员要求是环境检测、化学分析、生物类等相关专业毕业或有检测相关培训经历和从业经验的，要求工作仔细认真，有较强责任心。在进化验室工作之前，首先要进行安全与防护培训，掌握与所处岗位相适应的环境保护基础知识、法律法规、评价标准、监测标准或技术规范、质量控制要求，以及有关化学、生物、辐射等安全防护知识经确认后方可从事化验工作。质量负责人负责对化验员进行逐项指导培训，包括理论培训和实际操作培训，经过培训考核取得上岗证后方能上岗。并定期参加相关的行业专项培训。</w:t>
      </w:r>
    </w:p>
    <w:p>
      <w:pPr>
        <w:widowControl/>
        <w:jc w:val="left"/>
        <w:rPr>
          <w:bCs/>
          <w:szCs w:val="21"/>
        </w:rPr>
      </w:pPr>
      <w:r>
        <w:rPr>
          <w:bCs/>
          <w:szCs w:val="21"/>
        </w:rPr>
        <w:br w:type="page"/>
      </w:r>
    </w:p>
    <w:p>
      <w:pPr>
        <w:spacing w:line="324" w:lineRule="auto"/>
        <w:ind w:firstLine="420"/>
        <w:rPr>
          <w:bCs/>
          <w:szCs w:val="21"/>
        </w:rPr>
      </w:pPr>
    </w:p>
    <w:p>
      <w:pPr>
        <w:pStyle w:val="2"/>
        <w:spacing w:before="0" w:after="0"/>
        <w:rPr>
          <w:rFonts w:ascii="黑体" w:hAnsi="黑体" w:eastAsia="黑体"/>
          <w:bCs/>
          <w:sz w:val="21"/>
          <w:szCs w:val="21"/>
        </w:rPr>
      </w:pPr>
      <w:bookmarkStart w:id="41" w:name="_Toc34083608"/>
      <w:r>
        <w:rPr>
          <w:rFonts w:ascii="黑体" w:hAnsi="黑体" w:eastAsia="黑体"/>
          <w:bCs/>
          <w:sz w:val="21"/>
          <w:szCs w:val="21"/>
        </w:rPr>
        <w:t xml:space="preserve">11  </w:t>
      </w:r>
      <w:r>
        <w:rPr>
          <w:rFonts w:hint="eastAsia" w:ascii="黑体" w:hAnsi="黑体" w:eastAsia="黑体"/>
          <w:bCs/>
          <w:sz w:val="21"/>
          <w:szCs w:val="21"/>
        </w:rPr>
        <w:t>质量体系要求</w:t>
      </w:r>
      <w:bookmarkEnd w:id="41"/>
      <w:r>
        <w:rPr>
          <w:rFonts w:ascii="黑体" w:hAnsi="黑体" w:eastAsia="黑体"/>
          <w:bCs/>
          <w:sz w:val="21"/>
          <w:szCs w:val="21"/>
        </w:rPr>
        <w:t xml:space="preserve"> </w:t>
      </w:r>
    </w:p>
    <w:p>
      <w:pPr>
        <w:spacing w:line="576" w:lineRule="auto"/>
        <w:rPr>
          <w:rFonts w:ascii="黑体" w:hAnsi="黑体" w:eastAsia="黑体"/>
          <w:b/>
          <w:szCs w:val="21"/>
        </w:rPr>
      </w:pPr>
      <w:bookmarkStart w:id="42" w:name="_Toc34083609"/>
      <w:r>
        <w:rPr>
          <w:rFonts w:ascii="黑体" w:hAnsi="黑体" w:eastAsia="黑体"/>
          <w:b/>
          <w:szCs w:val="21"/>
        </w:rPr>
        <w:t>11.1  管理体系文件的编写</w:t>
      </w:r>
      <w:bookmarkEnd w:id="42"/>
    </w:p>
    <w:p>
      <w:pPr>
        <w:spacing w:line="460" w:lineRule="exact"/>
        <w:ind w:firstLine="420" w:firstLineChars="200"/>
        <w:rPr>
          <w:rFonts w:ascii="Calibri" w:hAnsi="Calibri" w:eastAsia="宋体" w:cs="Times New Roman"/>
          <w:bCs/>
          <w:szCs w:val="21"/>
        </w:rPr>
      </w:pPr>
      <w:r>
        <w:rPr>
          <w:rFonts w:hint="eastAsia" w:ascii="Calibri" w:hAnsi="Calibri" w:eastAsia="宋体" w:cs="Times New Roman"/>
          <w:bCs/>
          <w:szCs w:val="21"/>
        </w:rPr>
        <w:t>管理体系文件的编写应依据</w:t>
      </w:r>
      <w:r>
        <w:rPr>
          <w:rFonts w:ascii="Calibri" w:hAnsi="Calibri" w:eastAsia="宋体" w:cs="Times New Roman"/>
          <w:bCs/>
          <w:szCs w:val="21"/>
        </w:rPr>
        <w:t>RB/T 214-2017</w:t>
      </w:r>
      <w:r>
        <w:rPr>
          <w:rFonts w:hint="eastAsia" w:ascii="Calibri" w:hAnsi="Calibri" w:eastAsia="宋体" w:cs="Times New Roman"/>
          <w:bCs/>
          <w:szCs w:val="21"/>
        </w:rPr>
        <w:t>《检验检测机构资质认定能力评价 检验检测机构通用要求》及《生态环境监测机构资质认定补充要求》等标准要求，并结合本实验室的实际需要进行编制，从管理体系的整理出发，层次分明，相辅相成，协调统一。</w:t>
      </w:r>
    </w:p>
    <w:p>
      <w:pPr>
        <w:spacing w:line="460" w:lineRule="exact"/>
        <w:ind w:firstLine="420" w:firstLineChars="200"/>
        <w:rPr>
          <w:rFonts w:ascii="Calibri" w:hAnsi="Calibri" w:eastAsia="宋体" w:cs="Times New Roman"/>
          <w:bCs/>
          <w:szCs w:val="21"/>
        </w:rPr>
      </w:pPr>
      <w:r>
        <w:rPr>
          <w:rFonts w:hint="eastAsia" w:ascii="Calibri" w:hAnsi="Calibri" w:eastAsia="宋体" w:cs="Times New Roman"/>
          <w:bCs/>
          <w:szCs w:val="21"/>
        </w:rPr>
        <w:t>（1）质量手册的编写</w:t>
      </w:r>
    </w:p>
    <w:p>
      <w:pPr>
        <w:spacing w:line="460" w:lineRule="exact"/>
        <w:ind w:firstLine="420" w:firstLineChars="200"/>
        <w:rPr>
          <w:rFonts w:ascii="Calibri" w:hAnsi="Calibri" w:eastAsia="宋体" w:cs="Times New Roman"/>
          <w:bCs/>
          <w:szCs w:val="21"/>
        </w:rPr>
      </w:pPr>
      <w:r>
        <w:rPr>
          <w:rFonts w:hint="eastAsia" w:ascii="Calibri" w:hAnsi="Calibri" w:eastAsia="宋体" w:cs="Times New Roman"/>
          <w:bCs/>
          <w:szCs w:val="21"/>
        </w:rPr>
        <w:t>质量手册是阐明一个组织的质量方针描述其管理体系的文件。通常是一种纲领性文件，质量手册应作为法规性、纲领性文件予以执行。</w:t>
      </w:r>
    </w:p>
    <w:p>
      <w:pPr>
        <w:spacing w:line="460" w:lineRule="exact"/>
        <w:ind w:firstLine="420" w:firstLineChars="200"/>
        <w:rPr>
          <w:rFonts w:ascii="Calibri" w:hAnsi="Calibri" w:eastAsia="宋体" w:cs="Times New Roman"/>
          <w:bCs/>
          <w:szCs w:val="21"/>
        </w:rPr>
      </w:pPr>
      <w:r>
        <w:rPr>
          <w:rFonts w:hint="eastAsia" w:ascii="Calibri" w:hAnsi="Calibri" w:eastAsia="宋体" w:cs="Times New Roman"/>
          <w:bCs/>
          <w:szCs w:val="21"/>
        </w:rPr>
        <w:t>质量手册的内容要求清楚、准确、全面、适用、易于理解，要能覆盖通用要求的相关规定。模式可按最适合自己的方式表达，既可以按通用要求的条款顺序编写，也可按过程描述。</w:t>
      </w:r>
    </w:p>
    <w:p>
      <w:pPr>
        <w:spacing w:line="460" w:lineRule="exact"/>
        <w:ind w:firstLine="420" w:firstLineChars="200"/>
        <w:rPr>
          <w:rFonts w:ascii="Calibri" w:hAnsi="Calibri" w:eastAsia="宋体" w:cs="Times New Roman"/>
          <w:bCs/>
          <w:szCs w:val="21"/>
        </w:rPr>
      </w:pPr>
      <w:r>
        <w:rPr>
          <w:rFonts w:hint="eastAsia" w:ascii="Calibri" w:hAnsi="Calibri" w:eastAsia="宋体" w:cs="Times New Roman"/>
          <w:bCs/>
          <w:szCs w:val="21"/>
        </w:rPr>
        <w:t>（2）程序文件的编写</w:t>
      </w:r>
    </w:p>
    <w:p>
      <w:pPr>
        <w:spacing w:line="460" w:lineRule="exact"/>
        <w:ind w:firstLine="420" w:firstLineChars="200"/>
        <w:rPr>
          <w:rFonts w:ascii="Calibri" w:hAnsi="Calibri" w:eastAsia="宋体" w:cs="Times New Roman"/>
          <w:bCs/>
          <w:szCs w:val="21"/>
        </w:rPr>
      </w:pPr>
      <w:r>
        <w:rPr>
          <w:rFonts w:hint="eastAsia" w:ascii="Calibri" w:hAnsi="Calibri" w:eastAsia="宋体" w:cs="Times New Roman"/>
          <w:bCs/>
          <w:szCs w:val="21"/>
        </w:rPr>
        <w:t>程序文件是管理体系的组成部分，规定了质量活动（过程）的目的、范围、职责、活动顺序和相关的支持性计划/记录表格。</w:t>
      </w:r>
    </w:p>
    <w:p>
      <w:pPr>
        <w:spacing w:line="460" w:lineRule="exact"/>
        <w:ind w:firstLine="420" w:firstLineChars="200"/>
        <w:rPr>
          <w:rFonts w:ascii="Calibri" w:hAnsi="Calibri" w:eastAsia="宋体" w:cs="Times New Roman"/>
          <w:bCs/>
          <w:szCs w:val="21"/>
        </w:rPr>
      </w:pPr>
      <w:r>
        <w:rPr>
          <w:rFonts w:hint="eastAsia" w:ascii="Calibri" w:hAnsi="Calibri" w:eastAsia="宋体" w:cs="Times New Roman"/>
          <w:bCs/>
          <w:szCs w:val="21"/>
        </w:rPr>
        <w:t>每一个程序文件都应涉及管理体系的一个逻辑上独立的部分，既可以是一个完整的管理体系要素，也可以是几个要素相关联的一组活动。一般而言，程序文件不涉及纯技术细节的内容。</w:t>
      </w:r>
    </w:p>
    <w:p>
      <w:pPr>
        <w:spacing w:line="460" w:lineRule="exact"/>
        <w:ind w:firstLine="420" w:firstLineChars="200"/>
        <w:rPr>
          <w:rFonts w:ascii="Calibri" w:hAnsi="Calibri" w:eastAsia="宋体" w:cs="Times New Roman"/>
          <w:bCs/>
          <w:szCs w:val="21"/>
        </w:rPr>
      </w:pPr>
      <w:r>
        <w:rPr>
          <w:rFonts w:hint="eastAsia" w:ascii="Calibri" w:hAnsi="Calibri" w:eastAsia="宋体" w:cs="Times New Roman"/>
          <w:bCs/>
          <w:szCs w:val="21"/>
        </w:rPr>
        <w:t>程序文件的编制需要注意其规定的职责、工作内容和工作流程等应与质量手册的相关规定保持一致，特别需要强调的是程序文件的协调性、可行性和检查行。</w:t>
      </w:r>
    </w:p>
    <w:p>
      <w:pPr>
        <w:spacing w:line="460" w:lineRule="exact"/>
        <w:ind w:firstLine="420" w:firstLineChars="200"/>
        <w:rPr>
          <w:rFonts w:ascii="Calibri" w:hAnsi="Calibri" w:eastAsia="宋体" w:cs="Times New Roman"/>
          <w:bCs/>
          <w:szCs w:val="21"/>
        </w:rPr>
      </w:pPr>
      <w:r>
        <w:rPr>
          <w:rFonts w:hint="eastAsia" w:ascii="Calibri" w:hAnsi="Calibri" w:eastAsia="宋体" w:cs="Times New Roman"/>
          <w:bCs/>
          <w:szCs w:val="21"/>
        </w:rPr>
        <w:t>程序文件一般包括：各类人员的质量责任制、检测工作程序、样品质量控制、技术文件控制、仪器设备质量控制、环境条件控制、外购检验用品质量控制、分包检测的控制、记录和报告、质量申诉处理等。</w:t>
      </w:r>
    </w:p>
    <w:p>
      <w:pPr>
        <w:spacing w:line="460" w:lineRule="exact"/>
        <w:ind w:firstLine="420" w:firstLineChars="200"/>
        <w:rPr>
          <w:rFonts w:ascii="Calibri" w:hAnsi="Calibri" w:eastAsia="宋体" w:cs="Times New Roman"/>
          <w:bCs/>
          <w:szCs w:val="21"/>
        </w:rPr>
      </w:pPr>
      <w:r>
        <w:rPr>
          <w:rFonts w:hint="eastAsia" w:ascii="Calibri" w:hAnsi="Calibri" w:eastAsia="宋体" w:cs="Times New Roman"/>
          <w:bCs/>
          <w:szCs w:val="21"/>
        </w:rPr>
        <w:t>（3）作业指导书的编写</w:t>
      </w:r>
    </w:p>
    <w:p>
      <w:pPr>
        <w:spacing w:line="460" w:lineRule="exact"/>
        <w:ind w:firstLine="420" w:firstLineChars="200"/>
        <w:rPr>
          <w:rFonts w:ascii="Calibri" w:hAnsi="Calibri" w:eastAsia="宋体" w:cs="Times New Roman"/>
          <w:bCs/>
          <w:szCs w:val="21"/>
        </w:rPr>
      </w:pPr>
      <w:r>
        <w:rPr>
          <w:rFonts w:hint="eastAsia" w:ascii="Calibri" w:hAnsi="Calibri" w:eastAsia="宋体" w:cs="Times New Roman"/>
          <w:bCs/>
          <w:szCs w:val="21"/>
        </w:rPr>
        <w:t>作业指导书是指导检测活动的更详细的文件，用于指导某个具体过程技术性细节描述的可操作性文件。作业指导书要求制定得合理、详细、明了、可操作。一般分为：</w:t>
      </w:r>
    </w:p>
    <w:p>
      <w:pPr>
        <w:spacing w:line="460" w:lineRule="exact"/>
        <w:ind w:firstLine="420" w:firstLineChars="200"/>
        <w:rPr>
          <w:rFonts w:ascii="Calibri" w:hAnsi="Calibri" w:eastAsia="宋体" w:cs="Times New Roman"/>
          <w:bCs/>
          <w:szCs w:val="21"/>
        </w:rPr>
      </w:pPr>
      <w:r>
        <w:rPr>
          <w:rFonts w:hint="eastAsia" w:ascii="Calibri" w:hAnsi="Calibri" w:eastAsia="宋体" w:cs="Times New Roman"/>
          <w:bCs/>
          <w:szCs w:val="21"/>
        </w:rPr>
        <w:t>方法类：用于指导检测过程。</w:t>
      </w:r>
    </w:p>
    <w:p>
      <w:pPr>
        <w:spacing w:line="460" w:lineRule="exact"/>
        <w:ind w:firstLine="420" w:firstLineChars="200"/>
        <w:rPr>
          <w:rFonts w:ascii="Calibri" w:hAnsi="Calibri" w:eastAsia="宋体" w:cs="Times New Roman"/>
          <w:bCs/>
          <w:szCs w:val="21"/>
        </w:rPr>
      </w:pPr>
      <w:r>
        <w:rPr>
          <w:rFonts w:hint="eastAsia" w:ascii="Calibri" w:hAnsi="Calibri" w:eastAsia="宋体" w:cs="Times New Roman"/>
          <w:bCs/>
          <w:szCs w:val="21"/>
        </w:rPr>
        <w:t>设备类：设备的使用、操作规范、期间核查等。</w:t>
      </w:r>
    </w:p>
    <w:p>
      <w:pPr>
        <w:spacing w:line="460" w:lineRule="exact"/>
        <w:ind w:firstLine="420" w:firstLineChars="200"/>
        <w:rPr>
          <w:rFonts w:ascii="Calibri" w:hAnsi="Calibri" w:eastAsia="宋体" w:cs="Times New Roman"/>
          <w:bCs/>
          <w:szCs w:val="21"/>
        </w:rPr>
      </w:pPr>
      <w:r>
        <w:rPr>
          <w:rFonts w:hint="eastAsia" w:ascii="Calibri" w:hAnsi="Calibri" w:eastAsia="宋体" w:cs="Times New Roman"/>
          <w:bCs/>
          <w:szCs w:val="21"/>
        </w:rPr>
        <w:t>样品类：包括样品的准备、处置和制备规则。</w:t>
      </w:r>
    </w:p>
    <w:p>
      <w:pPr>
        <w:spacing w:line="460" w:lineRule="exact"/>
        <w:ind w:firstLine="420" w:firstLineChars="200"/>
        <w:rPr>
          <w:rFonts w:ascii="Calibri" w:hAnsi="Calibri" w:eastAsia="宋体" w:cs="Times New Roman"/>
          <w:bCs/>
          <w:szCs w:val="21"/>
        </w:rPr>
      </w:pPr>
      <w:r>
        <w:rPr>
          <w:rFonts w:hint="eastAsia" w:ascii="Calibri" w:hAnsi="Calibri" w:eastAsia="宋体" w:cs="Times New Roman"/>
          <w:bCs/>
          <w:szCs w:val="21"/>
        </w:rPr>
        <w:t>数据类：包括数据的有效位数、修约、异常值的剔除以及结果测量不确定度的评定表征规范等。</w:t>
      </w:r>
    </w:p>
    <w:p>
      <w:pPr>
        <w:spacing w:line="460" w:lineRule="exact"/>
        <w:ind w:firstLine="420" w:firstLineChars="200"/>
        <w:rPr>
          <w:rFonts w:ascii="Calibri" w:hAnsi="Calibri" w:eastAsia="宋体" w:cs="Times New Roman"/>
          <w:bCs/>
          <w:szCs w:val="21"/>
        </w:rPr>
      </w:pPr>
      <w:r>
        <w:rPr>
          <w:rFonts w:hint="eastAsia" w:ascii="Calibri" w:hAnsi="Calibri" w:eastAsia="宋体" w:cs="Times New Roman"/>
          <w:bCs/>
          <w:szCs w:val="21"/>
        </w:rPr>
        <w:t>作业指导书是技术性文件，不要求必须编写，标准、规范和说明书不够简明、缺少足够信息、有可选择的步骤或会造成因人而异，可能影响检测结果时，必须编写作业指导书。</w:t>
      </w:r>
    </w:p>
    <w:p>
      <w:pPr>
        <w:spacing w:line="460" w:lineRule="exact"/>
        <w:ind w:firstLine="420" w:firstLineChars="200"/>
        <w:rPr>
          <w:rFonts w:ascii="Calibri" w:hAnsi="Calibri" w:eastAsia="宋体" w:cs="Times New Roman"/>
          <w:bCs/>
          <w:szCs w:val="21"/>
        </w:rPr>
      </w:pPr>
      <w:r>
        <w:rPr>
          <w:rFonts w:hint="eastAsia" w:ascii="Calibri" w:hAnsi="Calibri" w:eastAsia="宋体" w:cs="Times New Roman"/>
          <w:bCs/>
          <w:szCs w:val="21"/>
        </w:rPr>
        <w:t>（4）记录的编写</w:t>
      </w:r>
    </w:p>
    <w:p>
      <w:pPr>
        <w:spacing w:line="460" w:lineRule="exact"/>
        <w:ind w:firstLine="420" w:firstLineChars="200"/>
        <w:rPr>
          <w:bCs/>
          <w:szCs w:val="21"/>
        </w:rPr>
      </w:pPr>
      <w:r>
        <w:rPr>
          <w:rFonts w:hint="eastAsia" w:ascii="Calibri" w:hAnsi="Calibri" w:eastAsia="宋体" w:cs="Times New Roman"/>
          <w:bCs/>
          <w:szCs w:val="21"/>
        </w:rPr>
        <w:t>记录是文件的一种，用于提供检测是否符合要求和体系是否有效运行的证据。分为技术记录和质量记录。本次污水检测的技术记录已经附后。</w:t>
      </w:r>
    </w:p>
    <w:p>
      <w:pPr>
        <w:pStyle w:val="2"/>
        <w:spacing w:before="0" w:after="0"/>
        <w:rPr>
          <w:rFonts w:ascii="黑体" w:hAnsi="黑体" w:eastAsia="黑体"/>
          <w:bCs/>
          <w:sz w:val="21"/>
          <w:szCs w:val="21"/>
        </w:rPr>
      </w:pPr>
      <w:bookmarkStart w:id="43" w:name="_Toc34083610"/>
      <w:r>
        <w:rPr>
          <w:rFonts w:hint="eastAsia" w:ascii="黑体" w:hAnsi="黑体" w:eastAsia="黑体"/>
          <w:bCs/>
          <w:sz w:val="21"/>
          <w:szCs w:val="21"/>
        </w:rPr>
        <w:t>1</w:t>
      </w:r>
      <w:r>
        <w:rPr>
          <w:rFonts w:ascii="黑体" w:hAnsi="黑体" w:eastAsia="黑体"/>
          <w:bCs/>
          <w:sz w:val="21"/>
          <w:szCs w:val="21"/>
        </w:rPr>
        <w:t xml:space="preserve">2  </w:t>
      </w:r>
      <w:r>
        <w:rPr>
          <w:rFonts w:hint="eastAsia" w:ascii="黑体" w:hAnsi="黑体" w:eastAsia="黑体"/>
          <w:bCs/>
          <w:sz w:val="21"/>
          <w:szCs w:val="21"/>
        </w:rPr>
        <w:t>安全和防护</w:t>
      </w:r>
      <w:bookmarkEnd w:id="43"/>
    </w:p>
    <w:p>
      <w:pPr>
        <w:spacing w:line="460" w:lineRule="exact"/>
        <w:ind w:firstLine="420" w:firstLineChars="200"/>
      </w:pPr>
      <w:r>
        <w:rPr>
          <w:rFonts w:hint="eastAsia"/>
        </w:rPr>
        <w:t>化验室应建立和实施安全作业管理程序，对涉及化学危险品、毒品、有害生物、电离辐射、高温、高电压、撞击以及水、气、火、电等危及安全的因素和环境，必须有效控制确保安全。实验室还应建立在紧急情况下的应急措施，如果出现险情和意外事故时，实验室能在第一时间内做出快速反应，防止事态扩大，尽量减少损失。</w:t>
      </w:r>
    </w:p>
    <w:p>
      <w:pPr>
        <w:spacing w:line="460" w:lineRule="exact"/>
        <w:ind w:firstLine="420" w:firstLineChars="200"/>
      </w:pPr>
      <w:r>
        <w:rPr>
          <w:rFonts w:hint="eastAsia"/>
        </w:rPr>
        <w:t>环境监测场所应根据需要配备安全防护装备或设施，并定期检查其有效性。现场监测场所应有安全警示标识。化验室必须配备有效的洗眼器、冲淋装置等安全防护设施。</w:t>
      </w:r>
    </w:p>
    <w:p>
      <w:pPr>
        <w:spacing w:line="576" w:lineRule="auto"/>
        <w:rPr>
          <w:rFonts w:ascii="黑体" w:hAnsi="黑体" w:eastAsia="黑体"/>
          <w:b/>
          <w:szCs w:val="21"/>
        </w:rPr>
      </w:pPr>
      <w:bookmarkStart w:id="44" w:name="_Toc34083611"/>
      <w:r>
        <w:rPr>
          <w:rFonts w:ascii="黑体" w:hAnsi="黑体" w:eastAsia="黑体"/>
          <w:b/>
          <w:szCs w:val="21"/>
        </w:rPr>
        <w:t>12.1  用火安全须知</w:t>
      </w:r>
      <w:bookmarkEnd w:id="44"/>
    </w:p>
    <w:p>
      <w:pPr>
        <w:spacing w:line="460" w:lineRule="exact"/>
        <w:ind w:firstLine="420" w:firstLineChars="200"/>
      </w:pPr>
      <w:r>
        <w:rPr>
          <w:rFonts w:hint="eastAsia"/>
        </w:rPr>
        <w:t>（1）</w:t>
      </w:r>
      <w:r>
        <w:t>实验室内不宜存放过多的易燃品，在火焰、电加热器或其他热源附近严禁放置</w:t>
      </w:r>
      <w:r>
        <w:rPr>
          <w:rFonts w:hint="eastAsia"/>
        </w:rPr>
        <w:t>易燃物。</w:t>
      </w:r>
    </w:p>
    <w:p>
      <w:pPr>
        <w:spacing w:line="460" w:lineRule="exact"/>
        <w:ind w:firstLine="420" w:firstLineChars="200"/>
      </w:pPr>
      <w:r>
        <w:rPr>
          <w:rFonts w:hint="eastAsia"/>
        </w:rPr>
        <w:t>（2）</w:t>
      </w:r>
      <w:r>
        <w:t>灼热的物品不能直接放置在实验台上，温度较高时应先放置在石棉网上。</w:t>
      </w:r>
    </w:p>
    <w:p>
      <w:pPr>
        <w:spacing w:line="460" w:lineRule="exact"/>
        <w:ind w:firstLine="420" w:firstLineChars="200"/>
      </w:pPr>
      <w:r>
        <w:rPr>
          <w:rFonts w:hint="eastAsia"/>
        </w:rPr>
        <w:t>（3）</w:t>
      </w:r>
      <w:r>
        <w:t>蒸发、蒸馏或回流易燃液体时，不许用明火直接加热或用明火加热水浴，应根</w:t>
      </w:r>
      <w:r>
        <w:rPr>
          <w:rFonts w:hint="eastAsia"/>
        </w:rPr>
        <w:t>据沸点高低分别用水浴、砂浴或油浴等加热，</w:t>
      </w:r>
      <w:r>
        <w:t>实验过程中分析人员决不允许擅自离开。</w:t>
      </w:r>
    </w:p>
    <w:p>
      <w:pPr>
        <w:spacing w:line="460" w:lineRule="exact"/>
        <w:ind w:firstLine="420" w:firstLineChars="200"/>
      </w:pPr>
      <w:r>
        <w:rPr>
          <w:rFonts w:hint="eastAsia"/>
        </w:rPr>
        <w:t>（4）</w:t>
      </w:r>
      <w:r>
        <w:t>实验室内不得使用明火取暖</w:t>
      </w:r>
      <w:r>
        <w:rPr>
          <w:rFonts w:hint="eastAsia"/>
        </w:rPr>
        <w:t>，</w:t>
      </w:r>
      <w:r>
        <w:t>严禁吸烟。</w:t>
      </w:r>
    </w:p>
    <w:p>
      <w:pPr>
        <w:spacing w:line="576" w:lineRule="auto"/>
        <w:rPr>
          <w:rFonts w:ascii="黑体" w:hAnsi="黑体" w:eastAsia="黑体"/>
          <w:b/>
          <w:szCs w:val="21"/>
        </w:rPr>
      </w:pPr>
      <w:bookmarkStart w:id="45" w:name="_Toc34083612"/>
      <w:r>
        <w:rPr>
          <w:rFonts w:ascii="黑体" w:hAnsi="黑体" w:eastAsia="黑体"/>
          <w:b/>
          <w:szCs w:val="21"/>
        </w:rPr>
        <w:t>12.2  用气安全须知</w:t>
      </w:r>
      <w:bookmarkEnd w:id="45"/>
    </w:p>
    <w:p>
      <w:pPr>
        <w:spacing w:line="460" w:lineRule="exact"/>
        <w:ind w:firstLine="420" w:firstLineChars="200"/>
      </w:pPr>
      <w:r>
        <w:rPr>
          <w:rFonts w:hint="eastAsia"/>
        </w:rPr>
        <w:t>（</w:t>
      </w:r>
      <w:r>
        <w:t>1</w:t>
      </w:r>
      <w:r>
        <w:rPr>
          <w:rFonts w:hint="eastAsia"/>
        </w:rPr>
        <w:t>）钢</w:t>
      </w:r>
      <w:r>
        <w:t>瓶应存放在阴凉、干燥处，远离热源、火源，避免暴晒及强烈震动，可燃性</w:t>
      </w:r>
      <w:r>
        <w:rPr>
          <w:rFonts w:hint="eastAsia"/>
        </w:rPr>
        <w:t>气体钢瓶必须与氧气钢瓶分开存放。</w:t>
      </w:r>
    </w:p>
    <w:p>
      <w:pPr>
        <w:spacing w:line="460" w:lineRule="exact"/>
        <w:ind w:firstLine="420" w:firstLineChars="200"/>
      </w:pPr>
      <w:r>
        <w:rPr>
          <w:rFonts w:hint="eastAsia"/>
        </w:rPr>
        <w:t>（2）</w:t>
      </w:r>
      <w:r>
        <w:t>在搬动气瓶时，应装上防震垫</w:t>
      </w:r>
      <w:r>
        <w:rPr>
          <w:rFonts w:hint="eastAsia"/>
        </w:rPr>
        <w:t>圈</w:t>
      </w:r>
      <w:r>
        <w:t>，旋紧安全帽，防止其意外转动和减少碰撞。</w:t>
      </w:r>
    </w:p>
    <w:p>
      <w:pPr>
        <w:spacing w:line="460" w:lineRule="exact"/>
        <w:ind w:firstLine="420" w:firstLineChars="200"/>
      </w:pPr>
      <w:r>
        <w:rPr>
          <w:rFonts w:hint="eastAsia"/>
        </w:rPr>
        <w:t>（3）</w:t>
      </w:r>
      <w:r>
        <w:t>各种气体的减压阀、导管不得混用，以防爆炸</w:t>
      </w:r>
      <w:r>
        <w:rPr>
          <w:rFonts w:hint="eastAsia"/>
        </w:rPr>
        <w:t>。</w:t>
      </w:r>
      <w:r>
        <w:t>开、关减压阀时，动作必须缓</w:t>
      </w:r>
      <w:r>
        <w:rPr>
          <w:rFonts w:hint="eastAsia"/>
        </w:rPr>
        <w:t>慢。</w:t>
      </w:r>
    </w:p>
    <w:p>
      <w:pPr>
        <w:spacing w:line="576" w:lineRule="auto"/>
        <w:rPr>
          <w:rFonts w:ascii="黑体" w:hAnsi="黑体" w:eastAsia="黑体"/>
          <w:b/>
          <w:szCs w:val="21"/>
        </w:rPr>
      </w:pPr>
      <w:bookmarkStart w:id="46" w:name="_Toc34083613"/>
      <w:r>
        <w:rPr>
          <w:rFonts w:ascii="黑体" w:hAnsi="黑体" w:eastAsia="黑体"/>
          <w:b/>
          <w:szCs w:val="21"/>
        </w:rPr>
        <w:t>12.3  用电安全须知</w:t>
      </w:r>
      <w:bookmarkEnd w:id="46"/>
    </w:p>
    <w:p>
      <w:pPr>
        <w:spacing w:line="460" w:lineRule="exact"/>
        <w:ind w:firstLine="420" w:firstLineChars="200"/>
      </w:pPr>
      <w:r>
        <w:rPr>
          <w:rFonts w:hint="eastAsia"/>
        </w:rPr>
        <w:t>（1）</w:t>
      </w:r>
      <w:r>
        <w:t>所有电源的裸露部分都应有绝缘装置，如电线接头处应裹上绝缘胶布，发现</w:t>
      </w:r>
      <w:r>
        <w:rPr>
          <w:rFonts w:hint="eastAsia"/>
        </w:rPr>
        <w:t>已损坏的插座、插头或绝缘不良的电线应及时更换。</w:t>
      </w:r>
    </w:p>
    <w:p>
      <w:pPr>
        <w:spacing w:line="460" w:lineRule="exact"/>
        <w:ind w:firstLine="420" w:firstLineChars="200"/>
      </w:pPr>
      <w:r>
        <w:rPr>
          <w:rFonts w:hint="eastAsia"/>
        </w:rPr>
        <w:t>（2）</w:t>
      </w:r>
      <w:r>
        <w:t>实验室电源电压应稳定，仪器设备要有良好的接地</w:t>
      </w:r>
      <w:r>
        <w:rPr>
          <w:rFonts w:hint="eastAsia"/>
        </w:rPr>
        <w:t>。</w:t>
      </w:r>
    </w:p>
    <w:p>
      <w:pPr>
        <w:spacing w:line="576" w:lineRule="auto"/>
        <w:rPr>
          <w:rFonts w:ascii="黑体" w:hAnsi="黑体" w:eastAsia="黑体"/>
          <w:b/>
          <w:szCs w:val="21"/>
        </w:rPr>
      </w:pPr>
      <w:bookmarkStart w:id="47" w:name="_Toc34083614"/>
      <w:r>
        <w:rPr>
          <w:rFonts w:ascii="黑体" w:hAnsi="黑体" w:eastAsia="黑体"/>
          <w:b/>
          <w:szCs w:val="21"/>
        </w:rPr>
        <w:t>12.4  用水安全须知</w:t>
      </w:r>
      <w:bookmarkEnd w:id="47"/>
    </w:p>
    <w:p>
      <w:pPr>
        <w:spacing w:line="460" w:lineRule="exact"/>
        <w:ind w:firstLine="420" w:firstLineChars="200"/>
      </w:pPr>
      <w:r>
        <w:rPr>
          <w:rFonts w:hint="eastAsia"/>
        </w:rPr>
        <w:t>（1）</w:t>
      </w:r>
      <w:r>
        <w:t>使用冷凝管时，先由冷凝管下口缓缓通入冷水，自上</w:t>
      </w:r>
      <w:r>
        <w:rPr>
          <w:rFonts w:hint="eastAsia"/>
        </w:rPr>
        <w:t>口</w:t>
      </w:r>
      <w:r>
        <w:t>流出引至水槽中。蒸馏</w:t>
      </w:r>
      <w:r>
        <w:rPr>
          <w:rFonts w:hint="eastAsia"/>
        </w:rPr>
        <w:t>及回流完毕应先停止加热，</w:t>
      </w:r>
      <w:r>
        <w:t>然后再停止通水。</w:t>
      </w:r>
    </w:p>
    <w:p>
      <w:pPr>
        <w:spacing w:line="460" w:lineRule="exact"/>
        <w:ind w:firstLine="420" w:firstLineChars="200"/>
      </w:pPr>
      <w:r>
        <w:rPr>
          <w:rFonts w:hint="eastAsia"/>
        </w:rPr>
        <w:t>（2）</w:t>
      </w:r>
      <w:r>
        <w:t>在加热蒸馏及回流过程中分析人员决不允许擅自离开，实验结束后应立即关闭</w:t>
      </w:r>
      <w:r>
        <w:rPr>
          <w:rFonts w:hint="eastAsia"/>
        </w:rPr>
        <w:t>电源和水源。</w:t>
      </w:r>
    </w:p>
    <w:p>
      <w:pPr>
        <w:spacing w:line="460" w:lineRule="exact"/>
        <w:ind w:firstLine="420" w:firstLineChars="200"/>
      </w:pPr>
      <w:r>
        <w:rPr>
          <w:rFonts w:hint="eastAsia"/>
        </w:rPr>
        <w:t>（3）</w:t>
      </w:r>
      <w:r>
        <w:t>分析人员要经常检查实验装置，对冷凝管中老化的橡皮管、纯水机中老化的滤</w:t>
      </w:r>
      <w:r>
        <w:rPr>
          <w:rFonts w:hint="eastAsia"/>
        </w:rPr>
        <w:t>芯套管及时进行更换，</w:t>
      </w:r>
      <w:r>
        <w:t>防止在实验过程中漏水。</w:t>
      </w:r>
    </w:p>
    <w:p>
      <w:pPr>
        <w:spacing w:line="460" w:lineRule="exact"/>
        <w:ind w:firstLine="420" w:firstLineChars="200"/>
      </w:pPr>
      <w:r>
        <w:rPr>
          <w:rFonts w:hint="eastAsia"/>
        </w:rPr>
        <w:t>（4）</w:t>
      </w:r>
      <w:r>
        <w:t>实验室的洗眼装置、喷淋装置等设施要定期维护并保持完好状态，保证在发生</w:t>
      </w:r>
      <w:r>
        <w:rPr>
          <w:rFonts w:hint="eastAsia"/>
        </w:rPr>
        <w:t>事故时的应急救援作用。</w:t>
      </w:r>
    </w:p>
    <w:p>
      <w:pPr>
        <w:spacing w:line="576" w:lineRule="auto"/>
        <w:rPr>
          <w:rFonts w:ascii="黑体" w:hAnsi="黑体" w:eastAsia="黑体"/>
          <w:b/>
          <w:szCs w:val="21"/>
        </w:rPr>
      </w:pPr>
      <w:bookmarkStart w:id="48" w:name="_Toc34083615"/>
      <w:r>
        <w:rPr>
          <w:rFonts w:ascii="黑体" w:hAnsi="黑体" w:eastAsia="黑体"/>
          <w:b/>
          <w:szCs w:val="21"/>
        </w:rPr>
        <w:t>12.5  防爆</w:t>
      </w:r>
      <w:bookmarkEnd w:id="48"/>
    </w:p>
    <w:p>
      <w:pPr>
        <w:spacing w:line="460" w:lineRule="exact"/>
        <w:ind w:firstLine="420" w:firstLineChars="200"/>
        <w:rPr>
          <w:bCs/>
          <w:szCs w:val="21"/>
        </w:rPr>
      </w:pPr>
      <w:r>
        <w:rPr>
          <w:rFonts w:hint="eastAsia"/>
          <w:bCs/>
          <w:szCs w:val="21"/>
        </w:rPr>
        <w:t>（1）</w:t>
      </w:r>
      <w:r>
        <w:rPr>
          <w:bCs/>
          <w:szCs w:val="21"/>
        </w:rPr>
        <w:t>使用易燃易爆</w:t>
      </w:r>
      <w:r>
        <w:rPr>
          <w:rFonts w:hint="eastAsia"/>
          <w:bCs/>
          <w:szCs w:val="21"/>
        </w:rPr>
        <w:t>试剂</w:t>
      </w:r>
      <w:r>
        <w:rPr>
          <w:bCs/>
          <w:szCs w:val="21"/>
        </w:rPr>
        <w:t>，要严格遵守操作规程，化验员必须事先熟悉其特性和有关知识。如实验中需使用易燃易爆</w:t>
      </w:r>
      <w:r>
        <w:rPr>
          <w:rFonts w:hint="eastAsia"/>
          <w:bCs/>
          <w:szCs w:val="21"/>
        </w:rPr>
        <w:t>试剂</w:t>
      </w:r>
      <w:r>
        <w:rPr>
          <w:bCs/>
          <w:szCs w:val="21"/>
        </w:rPr>
        <w:t>，化验员应在实验前</w:t>
      </w:r>
      <w:r>
        <w:rPr>
          <w:rFonts w:hint="eastAsia"/>
          <w:bCs/>
          <w:szCs w:val="21"/>
        </w:rPr>
        <w:t>仔细阅读并领会</w:t>
      </w:r>
      <w:r>
        <w:rPr>
          <w:bCs/>
          <w:szCs w:val="21"/>
        </w:rPr>
        <w:t>安全使用易燃易爆</w:t>
      </w:r>
      <w:r>
        <w:rPr>
          <w:rFonts w:hint="eastAsia"/>
          <w:bCs/>
          <w:szCs w:val="21"/>
        </w:rPr>
        <w:t>试剂</w:t>
      </w:r>
      <w:r>
        <w:rPr>
          <w:bCs/>
          <w:szCs w:val="21"/>
        </w:rPr>
        <w:t>的操作方法及注意事项。</w:t>
      </w:r>
    </w:p>
    <w:p>
      <w:pPr>
        <w:spacing w:line="460" w:lineRule="exact"/>
        <w:ind w:firstLine="420" w:firstLineChars="200"/>
        <w:rPr>
          <w:bCs/>
          <w:szCs w:val="21"/>
        </w:rPr>
      </w:pPr>
      <w:r>
        <w:rPr>
          <w:rFonts w:hint="eastAsia"/>
          <w:bCs/>
          <w:szCs w:val="21"/>
        </w:rPr>
        <w:t>（2）</w:t>
      </w:r>
      <w:r>
        <w:rPr>
          <w:bCs/>
          <w:szCs w:val="21"/>
        </w:rPr>
        <w:t>易燃易爆</w:t>
      </w:r>
      <w:r>
        <w:rPr>
          <w:rFonts w:hint="eastAsia"/>
          <w:bCs/>
          <w:szCs w:val="21"/>
        </w:rPr>
        <w:t>试剂</w:t>
      </w:r>
      <w:r>
        <w:rPr>
          <w:bCs/>
          <w:szCs w:val="21"/>
        </w:rPr>
        <w:t>要分类贮存，定期检查，防止自燃或其它意外事故。</w:t>
      </w:r>
    </w:p>
    <w:p>
      <w:pPr>
        <w:spacing w:line="576" w:lineRule="auto"/>
        <w:rPr>
          <w:rFonts w:ascii="黑体" w:hAnsi="黑体" w:eastAsia="黑体"/>
          <w:b/>
          <w:szCs w:val="21"/>
        </w:rPr>
      </w:pPr>
      <w:bookmarkStart w:id="49" w:name="_Toc34083616"/>
      <w:r>
        <w:rPr>
          <w:rFonts w:ascii="黑体" w:hAnsi="黑体" w:eastAsia="黑体"/>
          <w:b/>
          <w:szCs w:val="21"/>
        </w:rPr>
        <w:t>12.6  防毒</w:t>
      </w:r>
      <w:bookmarkEnd w:id="49"/>
    </w:p>
    <w:p>
      <w:pPr>
        <w:spacing w:line="460" w:lineRule="exact"/>
        <w:ind w:firstLine="420" w:firstLineChars="200"/>
        <w:rPr>
          <w:bCs/>
          <w:szCs w:val="21"/>
        </w:rPr>
      </w:pPr>
      <w:r>
        <w:rPr>
          <w:rFonts w:hint="eastAsia"/>
          <w:bCs/>
          <w:szCs w:val="21"/>
        </w:rPr>
        <w:t>（1）</w:t>
      </w:r>
      <w:r>
        <w:rPr>
          <w:bCs/>
          <w:szCs w:val="21"/>
        </w:rPr>
        <w:t>化验室</w:t>
      </w:r>
      <w:r>
        <w:rPr>
          <w:rFonts w:hint="eastAsia"/>
          <w:bCs/>
          <w:szCs w:val="21"/>
        </w:rPr>
        <w:t>人员领用有毒药</w:t>
      </w:r>
      <w:r>
        <w:rPr>
          <w:bCs/>
          <w:szCs w:val="21"/>
        </w:rPr>
        <w:t>品</w:t>
      </w:r>
      <w:r>
        <w:rPr>
          <w:rFonts w:hint="eastAsia"/>
          <w:bCs/>
          <w:szCs w:val="21"/>
        </w:rPr>
        <w:t>时，需执行双人双锁制度，填写领用登记，写明用量用途等</w:t>
      </w:r>
      <w:r>
        <w:rPr>
          <w:bCs/>
          <w:szCs w:val="21"/>
        </w:rPr>
        <w:t>。</w:t>
      </w:r>
    </w:p>
    <w:p>
      <w:pPr>
        <w:spacing w:line="460" w:lineRule="exact"/>
        <w:ind w:firstLine="420" w:firstLineChars="200"/>
        <w:rPr>
          <w:bCs/>
          <w:szCs w:val="21"/>
        </w:rPr>
      </w:pPr>
      <w:r>
        <w:rPr>
          <w:rFonts w:hint="eastAsia"/>
          <w:bCs/>
          <w:szCs w:val="21"/>
        </w:rPr>
        <w:t>（2）</w:t>
      </w:r>
      <w:r>
        <w:rPr>
          <w:bCs/>
          <w:szCs w:val="21"/>
        </w:rPr>
        <w:t>领用剧毒</w:t>
      </w:r>
      <w:r>
        <w:rPr>
          <w:rFonts w:hint="eastAsia"/>
          <w:bCs/>
          <w:szCs w:val="21"/>
        </w:rPr>
        <w:t>药品</w:t>
      </w:r>
      <w:r>
        <w:rPr>
          <w:bCs/>
          <w:szCs w:val="21"/>
        </w:rPr>
        <w:t>时，领用人必须详细写明用途、领取数量，并经</w:t>
      </w:r>
      <w:r>
        <w:rPr>
          <w:rFonts w:hint="eastAsia"/>
          <w:bCs/>
          <w:szCs w:val="21"/>
        </w:rPr>
        <w:t>化</w:t>
      </w:r>
      <w:r>
        <w:rPr>
          <w:bCs/>
          <w:szCs w:val="21"/>
        </w:rPr>
        <w:t>验</w:t>
      </w:r>
      <w:r>
        <w:rPr>
          <w:rFonts w:hint="eastAsia"/>
          <w:bCs/>
          <w:szCs w:val="21"/>
        </w:rPr>
        <w:t>室</w:t>
      </w:r>
      <w:r>
        <w:rPr>
          <w:bCs/>
          <w:szCs w:val="21"/>
        </w:rPr>
        <w:t>负责人签字同意后，方可领取。实验完毕后，领用的剧毒物品如有剩余时，应及时退</w:t>
      </w:r>
      <w:r>
        <w:rPr>
          <w:rFonts w:hint="eastAsia"/>
          <w:bCs/>
          <w:szCs w:val="21"/>
        </w:rPr>
        <w:t>化验室负责人</w:t>
      </w:r>
      <w:r>
        <w:rPr>
          <w:bCs/>
          <w:szCs w:val="21"/>
        </w:rPr>
        <w:t>。</w:t>
      </w:r>
    </w:p>
    <w:p>
      <w:pPr>
        <w:spacing w:line="460" w:lineRule="exact"/>
        <w:ind w:firstLine="420" w:firstLineChars="200"/>
        <w:rPr>
          <w:bCs/>
          <w:szCs w:val="21"/>
        </w:rPr>
      </w:pPr>
      <w:r>
        <w:rPr>
          <w:rFonts w:hint="eastAsia"/>
          <w:bCs/>
          <w:szCs w:val="21"/>
        </w:rPr>
        <w:t>（3）</w:t>
      </w:r>
      <w:r>
        <w:rPr>
          <w:bCs/>
          <w:szCs w:val="21"/>
        </w:rPr>
        <w:t>在实验过程中，尽量采用无毒或低毒</w:t>
      </w:r>
      <w:r>
        <w:rPr>
          <w:rFonts w:hint="eastAsia"/>
          <w:bCs/>
          <w:szCs w:val="21"/>
        </w:rPr>
        <w:t>试剂</w:t>
      </w:r>
      <w:r>
        <w:rPr>
          <w:bCs/>
          <w:szCs w:val="21"/>
        </w:rPr>
        <w:t>代替</w:t>
      </w:r>
      <w:r>
        <w:rPr>
          <w:rFonts w:hint="eastAsia"/>
          <w:bCs/>
          <w:szCs w:val="21"/>
        </w:rPr>
        <w:t>有毒、</w:t>
      </w:r>
      <w:r>
        <w:rPr>
          <w:bCs/>
          <w:szCs w:val="21"/>
        </w:rPr>
        <w:t>剧毒</w:t>
      </w:r>
      <w:r>
        <w:rPr>
          <w:rFonts w:hint="eastAsia"/>
          <w:bCs/>
          <w:szCs w:val="21"/>
        </w:rPr>
        <w:t>试剂</w:t>
      </w:r>
      <w:r>
        <w:rPr>
          <w:bCs/>
          <w:szCs w:val="21"/>
        </w:rPr>
        <w:t>。在必须使用有毒物品时应事先了解其性质，做到安全使用。</w:t>
      </w:r>
    </w:p>
    <w:p>
      <w:pPr>
        <w:spacing w:line="460" w:lineRule="exact"/>
        <w:ind w:firstLine="420" w:firstLineChars="200"/>
        <w:rPr>
          <w:bCs/>
          <w:szCs w:val="21"/>
        </w:rPr>
      </w:pPr>
      <w:r>
        <w:rPr>
          <w:rFonts w:hint="eastAsia"/>
          <w:bCs/>
          <w:szCs w:val="21"/>
        </w:rPr>
        <w:t>（4）</w:t>
      </w:r>
      <w:r>
        <w:rPr>
          <w:bCs/>
          <w:szCs w:val="21"/>
        </w:rPr>
        <w:t>进行有毒气产生的实验时，应在通风柜内操作，并尽可能密闭化。</w:t>
      </w:r>
      <w:r>
        <w:rPr>
          <w:rFonts w:hint="eastAsia"/>
          <w:bCs/>
          <w:szCs w:val="21"/>
        </w:rPr>
        <w:t>在化</w:t>
      </w:r>
      <w:r>
        <w:rPr>
          <w:bCs/>
          <w:szCs w:val="21"/>
        </w:rPr>
        <w:t>验室内要进行良好的局部排风和全面排风。</w:t>
      </w:r>
    </w:p>
    <w:p>
      <w:pPr>
        <w:spacing w:line="460" w:lineRule="exact"/>
        <w:ind w:firstLine="420" w:firstLineChars="200"/>
        <w:rPr>
          <w:bCs/>
          <w:szCs w:val="21"/>
        </w:rPr>
      </w:pPr>
      <w:r>
        <w:rPr>
          <w:rFonts w:hint="eastAsia"/>
          <w:bCs/>
          <w:szCs w:val="21"/>
        </w:rPr>
        <w:t>（5）</w:t>
      </w:r>
      <w:r>
        <w:rPr>
          <w:bCs/>
          <w:szCs w:val="21"/>
        </w:rPr>
        <w:t>化验员严禁</w:t>
      </w:r>
      <w:r>
        <w:rPr>
          <w:rFonts w:hint="eastAsia"/>
          <w:bCs/>
          <w:szCs w:val="21"/>
        </w:rPr>
        <w:t>在</w:t>
      </w:r>
      <w:r>
        <w:rPr>
          <w:bCs/>
          <w:szCs w:val="21"/>
        </w:rPr>
        <w:t>非实验场所使用</w:t>
      </w:r>
      <w:r>
        <w:rPr>
          <w:rFonts w:hint="eastAsia"/>
          <w:bCs/>
          <w:szCs w:val="21"/>
        </w:rPr>
        <w:t>有</w:t>
      </w:r>
      <w:r>
        <w:rPr>
          <w:bCs/>
          <w:szCs w:val="21"/>
        </w:rPr>
        <w:t>毒</w:t>
      </w:r>
      <w:r>
        <w:rPr>
          <w:rFonts w:hint="eastAsia"/>
          <w:bCs/>
          <w:szCs w:val="21"/>
        </w:rPr>
        <w:t>试剂</w:t>
      </w:r>
      <w:r>
        <w:rPr>
          <w:bCs/>
          <w:szCs w:val="21"/>
        </w:rPr>
        <w:t>，或在有可能被毒物污染的</w:t>
      </w:r>
      <w:r>
        <w:rPr>
          <w:rFonts w:hint="eastAsia"/>
          <w:bCs/>
          <w:szCs w:val="21"/>
        </w:rPr>
        <w:t>化</w:t>
      </w:r>
      <w:r>
        <w:rPr>
          <w:bCs/>
          <w:szCs w:val="21"/>
        </w:rPr>
        <w:t>验室内存放其它物品，</w:t>
      </w:r>
      <w:r>
        <w:rPr>
          <w:rFonts w:hint="eastAsia"/>
          <w:bCs/>
          <w:szCs w:val="21"/>
        </w:rPr>
        <w:t>并</w:t>
      </w:r>
      <w:r>
        <w:rPr>
          <w:bCs/>
          <w:szCs w:val="21"/>
        </w:rPr>
        <w:t>禁止用手直接接触。</w:t>
      </w:r>
    </w:p>
    <w:p>
      <w:pPr>
        <w:spacing w:line="576" w:lineRule="auto"/>
        <w:rPr>
          <w:rFonts w:ascii="黑体" w:hAnsi="黑体" w:eastAsia="黑体"/>
          <w:b/>
          <w:szCs w:val="21"/>
        </w:rPr>
      </w:pPr>
      <w:bookmarkStart w:id="50" w:name="_Toc34083617"/>
      <w:r>
        <w:rPr>
          <w:rFonts w:ascii="黑体" w:hAnsi="黑体" w:eastAsia="黑体"/>
          <w:b/>
          <w:szCs w:val="21"/>
        </w:rPr>
        <w:t>12.7  防菌</w:t>
      </w:r>
      <w:bookmarkEnd w:id="50"/>
    </w:p>
    <w:p>
      <w:pPr>
        <w:spacing w:line="460" w:lineRule="exact"/>
        <w:ind w:firstLine="420" w:firstLineChars="200"/>
        <w:rPr>
          <w:bCs/>
          <w:szCs w:val="21"/>
        </w:rPr>
      </w:pPr>
      <w:r>
        <w:rPr>
          <w:rFonts w:hint="eastAsia"/>
          <w:bCs/>
          <w:szCs w:val="21"/>
        </w:rPr>
        <w:t>（1）</w:t>
      </w:r>
      <w:r>
        <w:rPr>
          <w:bCs/>
          <w:szCs w:val="21"/>
        </w:rPr>
        <w:t>生物化验室应定期进行</w:t>
      </w:r>
      <w:r>
        <w:fldChar w:fldCharType="begin"/>
      </w:r>
      <w:r>
        <w:instrText xml:space="preserve"> HYPERLINK "https://baike.baidu.com/item/%E6%B6%88%E6%AF%92" \t "https://baike.baidu.com/item/%E5%AE%9E%E9%AA%8C%E5%AE%A4%E5%AE%89%E5%85%A8%E5%88%B6%E5%BA%A6%E6%B1%87%E6%80%BB/_blank" </w:instrText>
      </w:r>
      <w:r>
        <w:fldChar w:fldCharType="separate"/>
      </w:r>
      <w:r>
        <w:rPr>
          <w:bCs/>
          <w:szCs w:val="21"/>
        </w:rPr>
        <w:t>消毒</w:t>
      </w:r>
      <w:r>
        <w:rPr>
          <w:bCs/>
          <w:szCs w:val="21"/>
        </w:rPr>
        <w:fldChar w:fldCharType="end"/>
      </w:r>
      <w:r>
        <w:rPr>
          <w:bCs/>
          <w:szCs w:val="21"/>
        </w:rPr>
        <w:t>灭菌，以保持工作环境的</w:t>
      </w:r>
      <w:r>
        <w:fldChar w:fldCharType="begin"/>
      </w:r>
      <w:r>
        <w:instrText xml:space="preserve"> HYPERLINK "https://baike.baidu.com/item/%E6%B4%81%E5%87%80" \t "https://baike.baidu.com/item/%E5%AE%9E%E9%AA%8C%E5%AE%A4%E5%AE%89%E5%85%A8%E5%88%B6%E5%BA%A6%E6%B1%87%E6%80%BB/_blank" </w:instrText>
      </w:r>
      <w:r>
        <w:fldChar w:fldCharType="separate"/>
      </w:r>
      <w:r>
        <w:rPr>
          <w:bCs/>
          <w:szCs w:val="21"/>
        </w:rPr>
        <w:t>洁净</w:t>
      </w:r>
      <w:r>
        <w:rPr>
          <w:bCs/>
          <w:szCs w:val="21"/>
        </w:rPr>
        <w:fldChar w:fldCharType="end"/>
      </w:r>
      <w:r>
        <w:rPr>
          <w:bCs/>
          <w:szCs w:val="21"/>
        </w:rPr>
        <w:t>，消灭细菌繁衍生长的条件。实验后的废弃物应及时妥善处理，不得随意丢弃。</w:t>
      </w:r>
    </w:p>
    <w:p>
      <w:pPr>
        <w:spacing w:line="460" w:lineRule="exact"/>
        <w:ind w:firstLine="420" w:firstLineChars="200"/>
        <w:rPr>
          <w:bCs/>
          <w:szCs w:val="21"/>
        </w:rPr>
      </w:pPr>
      <w:r>
        <w:rPr>
          <w:rFonts w:hint="eastAsia"/>
          <w:bCs/>
          <w:szCs w:val="21"/>
        </w:rPr>
        <w:t>（2）</w:t>
      </w:r>
      <w:r>
        <w:rPr>
          <w:bCs/>
          <w:szCs w:val="21"/>
        </w:rPr>
        <w:t>实验操作时必须细心谨慎，减少细菌向容器外繁衍的可能。操作完毕，应立即用消毒液</w:t>
      </w:r>
      <w:r>
        <w:rPr>
          <w:rFonts w:hint="eastAsia"/>
          <w:bCs/>
          <w:szCs w:val="21"/>
        </w:rPr>
        <w:t>或高压蒸汽灭菌锅</w:t>
      </w:r>
      <w:r>
        <w:rPr>
          <w:bCs/>
          <w:szCs w:val="21"/>
        </w:rPr>
        <w:t>等清洗</w:t>
      </w:r>
      <w:r>
        <w:rPr>
          <w:rFonts w:hint="eastAsia"/>
          <w:bCs/>
          <w:szCs w:val="21"/>
        </w:rPr>
        <w:t>和灭菌</w:t>
      </w:r>
      <w:r>
        <w:rPr>
          <w:bCs/>
          <w:szCs w:val="21"/>
        </w:rPr>
        <w:t>有关器皿。</w:t>
      </w:r>
    </w:p>
    <w:p>
      <w:pPr>
        <w:spacing w:line="576" w:lineRule="auto"/>
        <w:rPr>
          <w:rFonts w:ascii="黑体" w:hAnsi="黑体" w:eastAsia="黑体"/>
          <w:b/>
          <w:szCs w:val="21"/>
        </w:rPr>
      </w:pPr>
      <w:bookmarkStart w:id="51" w:name="_Toc34083618"/>
      <w:r>
        <w:rPr>
          <w:rFonts w:ascii="黑体" w:hAnsi="黑体" w:eastAsia="黑体"/>
          <w:b/>
          <w:szCs w:val="21"/>
        </w:rPr>
        <w:t>12.8  防腐蚀</w:t>
      </w:r>
      <w:bookmarkEnd w:id="51"/>
    </w:p>
    <w:p>
      <w:pPr>
        <w:spacing w:line="460" w:lineRule="exact"/>
        <w:ind w:firstLine="420" w:firstLineChars="200"/>
        <w:rPr>
          <w:bCs/>
          <w:szCs w:val="21"/>
        </w:rPr>
      </w:pPr>
      <w:r>
        <w:rPr>
          <w:rFonts w:hint="eastAsia"/>
          <w:bCs/>
          <w:szCs w:val="21"/>
        </w:rPr>
        <w:t>（1）</w:t>
      </w:r>
      <w:r>
        <w:rPr>
          <w:bCs/>
          <w:szCs w:val="21"/>
        </w:rPr>
        <w:t>腐蚀性物品存放时，注意其容器的密封性。酸性和碱性</w:t>
      </w:r>
      <w:r>
        <w:rPr>
          <w:rFonts w:hint="eastAsia"/>
          <w:bCs/>
          <w:szCs w:val="21"/>
        </w:rPr>
        <w:t>试剂</w:t>
      </w:r>
      <w:r>
        <w:rPr>
          <w:bCs/>
          <w:szCs w:val="21"/>
        </w:rPr>
        <w:t>严禁混放</w:t>
      </w:r>
      <w:r>
        <w:rPr>
          <w:rFonts w:hint="eastAsia"/>
          <w:bCs/>
          <w:szCs w:val="21"/>
        </w:rPr>
        <w:t>，</w:t>
      </w:r>
      <w:r>
        <w:rPr>
          <w:bCs/>
          <w:szCs w:val="21"/>
        </w:rPr>
        <w:t>应分类隔离贮存。</w:t>
      </w:r>
    </w:p>
    <w:p>
      <w:pPr>
        <w:spacing w:line="460" w:lineRule="exact"/>
        <w:ind w:firstLine="420" w:firstLineChars="200"/>
        <w:rPr>
          <w:bCs/>
          <w:szCs w:val="21"/>
        </w:rPr>
      </w:pPr>
      <w:r>
        <w:rPr>
          <w:rFonts w:hint="eastAsia"/>
          <w:bCs/>
          <w:szCs w:val="21"/>
        </w:rPr>
        <w:t>（2）</w:t>
      </w:r>
      <w:r>
        <w:rPr>
          <w:bCs/>
          <w:szCs w:val="21"/>
        </w:rPr>
        <w:t>置有精密仪器设备的</w:t>
      </w:r>
      <w:r>
        <w:rPr>
          <w:rFonts w:hint="eastAsia"/>
          <w:bCs/>
          <w:szCs w:val="21"/>
        </w:rPr>
        <w:t>化</w:t>
      </w:r>
      <w:r>
        <w:rPr>
          <w:bCs/>
          <w:szCs w:val="21"/>
        </w:rPr>
        <w:t>验室内，严禁存放具有产生腐蚀性挥发气体的物品。</w:t>
      </w:r>
    </w:p>
    <w:p>
      <w:pPr>
        <w:spacing w:line="460" w:lineRule="exact"/>
        <w:ind w:firstLine="420" w:firstLineChars="200"/>
        <w:rPr>
          <w:bCs/>
          <w:szCs w:val="21"/>
        </w:rPr>
      </w:pPr>
      <w:r>
        <w:rPr>
          <w:rFonts w:hint="eastAsia"/>
          <w:bCs/>
          <w:szCs w:val="21"/>
        </w:rPr>
        <w:t>（3）</w:t>
      </w:r>
      <w:r>
        <w:rPr>
          <w:bCs/>
          <w:szCs w:val="21"/>
        </w:rPr>
        <w:t>使用腐蚀性物品时，要细心谨慎，严格按照操作规程，在通风柜内进行。使用完毕，立即盖好容器。谨防试剂溅出灼伤皮肤，损坏仪器设备和衣物等。酸、碱废液必须经过处理后方可排放，不能直接倒入下水道。</w:t>
      </w:r>
    </w:p>
    <w:p>
      <w:pPr>
        <w:spacing w:line="460" w:lineRule="exact"/>
        <w:ind w:firstLine="420" w:firstLineChars="200"/>
        <w:rPr>
          <w:bCs/>
          <w:szCs w:val="21"/>
        </w:rPr>
      </w:pPr>
      <w:r>
        <w:rPr>
          <w:rFonts w:hint="eastAsia"/>
          <w:bCs/>
          <w:szCs w:val="21"/>
        </w:rPr>
        <w:t>（4）</w:t>
      </w:r>
      <w:r>
        <w:rPr>
          <w:bCs/>
          <w:szCs w:val="21"/>
        </w:rPr>
        <w:t>搬运、使用腐蚀性物品要穿戴好个人防护用品。若不慎将酸或碱溅到衣服或皮肤上，应</w:t>
      </w:r>
      <w:r>
        <w:rPr>
          <w:rFonts w:hint="eastAsia"/>
          <w:bCs/>
          <w:szCs w:val="21"/>
        </w:rPr>
        <w:t>立即用</w:t>
      </w:r>
      <w:r>
        <w:rPr>
          <w:bCs/>
          <w:szCs w:val="21"/>
        </w:rPr>
        <w:t>大量清水冲洗。如溅到眼睛里，应立即用</w:t>
      </w:r>
      <w:r>
        <w:rPr>
          <w:rFonts w:hint="eastAsia"/>
          <w:bCs/>
          <w:szCs w:val="21"/>
        </w:rPr>
        <w:t>洗眼器</w:t>
      </w:r>
      <w:r>
        <w:rPr>
          <w:bCs/>
          <w:szCs w:val="21"/>
        </w:rPr>
        <w:t>冲洗后就医</w:t>
      </w:r>
      <w:r>
        <w:rPr>
          <w:rFonts w:hint="eastAsia"/>
          <w:bCs/>
          <w:szCs w:val="21"/>
        </w:rPr>
        <w:t>，</w:t>
      </w:r>
      <w:r>
        <w:rPr>
          <w:bCs/>
          <w:szCs w:val="21"/>
        </w:rPr>
        <w:t>以免损伤视力。</w:t>
      </w:r>
    </w:p>
    <w:p>
      <w:pPr>
        <w:spacing w:line="576" w:lineRule="auto"/>
        <w:rPr>
          <w:rFonts w:ascii="黑体" w:hAnsi="黑体" w:eastAsia="黑体"/>
          <w:b/>
          <w:szCs w:val="21"/>
        </w:rPr>
      </w:pPr>
      <w:bookmarkStart w:id="52" w:name="_Toc34083619"/>
      <w:r>
        <w:rPr>
          <w:rFonts w:ascii="黑体" w:hAnsi="黑体" w:eastAsia="黑体"/>
          <w:b/>
          <w:szCs w:val="21"/>
        </w:rPr>
        <w:t>12.9  消防</w:t>
      </w:r>
      <w:bookmarkEnd w:id="52"/>
    </w:p>
    <w:p>
      <w:pPr>
        <w:spacing w:line="460" w:lineRule="exact"/>
        <w:ind w:firstLine="420" w:firstLineChars="200"/>
        <w:rPr>
          <w:bCs/>
          <w:szCs w:val="21"/>
        </w:rPr>
      </w:pPr>
      <w:r>
        <w:rPr>
          <w:rFonts w:hint="eastAsia"/>
          <w:bCs/>
          <w:szCs w:val="21"/>
        </w:rPr>
        <w:t>（1）</w:t>
      </w:r>
      <w:r>
        <w:rPr>
          <w:bCs/>
          <w:szCs w:val="21"/>
        </w:rPr>
        <w:t>在</w:t>
      </w:r>
      <w:r>
        <w:rPr>
          <w:rFonts w:hint="eastAsia"/>
          <w:bCs/>
          <w:szCs w:val="21"/>
        </w:rPr>
        <w:t>化</w:t>
      </w:r>
      <w:r>
        <w:rPr>
          <w:bCs/>
          <w:szCs w:val="21"/>
        </w:rPr>
        <w:t>验室内及过道等处，</w:t>
      </w:r>
      <w:r>
        <w:rPr>
          <w:rFonts w:hint="eastAsia"/>
          <w:bCs/>
          <w:szCs w:val="21"/>
        </w:rPr>
        <w:t>需配</w:t>
      </w:r>
      <w:r>
        <w:rPr>
          <w:bCs/>
          <w:szCs w:val="21"/>
        </w:rPr>
        <w:t>备适宜的消防器材。</w:t>
      </w:r>
    </w:p>
    <w:p>
      <w:pPr>
        <w:spacing w:line="460" w:lineRule="exact"/>
        <w:ind w:firstLine="420" w:firstLineChars="200"/>
        <w:rPr>
          <w:bCs/>
          <w:szCs w:val="21"/>
        </w:rPr>
      </w:pPr>
      <w:r>
        <w:rPr>
          <w:rFonts w:hint="eastAsia"/>
          <w:bCs/>
          <w:szCs w:val="21"/>
        </w:rPr>
        <w:t>（2）</w:t>
      </w:r>
      <w:r>
        <w:rPr>
          <w:bCs/>
          <w:szCs w:val="21"/>
        </w:rPr>
        <w:t>电线及电器设备起火时，必须先切断电源，再用干粉灭火</w:t>
      </w:r>
      <w:r>
        <w:rPr>
          <w:rFonts w:hint="eastAsia"/>
          <w:bCs/>
          <w:szCs w:val="21"/>
        </w:rPr>
        <w:t>器</w:t>
      </w:r>
      <w:r>
        <w:rPr>
          <w:bCs/>
          <w:szCs w:val="21"/>
        </w:rPr>
        <w:t>灭火，并及时通知有关部门。绝不能用水或泡沫灭火</w:t>
      </w:r>
      <w:r>
        <w:rPr>
          <w:rFonts w:hint="eastAsia"/>
          <w:bCs/>
          <w:szCs w:val="21"/>
        </w:rPr>
        <w:t>器</w:t>
      </w:r>
      <w:r>
        <w:rPr>
          <w:bCs/>
          <w:szCs w:val="21"/>
        </w:rPr>
        <w:t>来扑灭燃烧的电线与电器，以免因水或灭火</w:t>
      </w:r>
      <w:r>
        <w:rPr>
          <w:rFonts w:hint="eastAsia"/>
          <w:bCs/>
          <w:szCs w:val="21"/>
        </w:rPr>
        <w:t>器</w:t>
      </w:r>
      <w:r>
        <w:rPr>
          <w:bCs/>
          <w:szCs w:val="21"/>
        </w:rPr>
        <w:t>喷出的药液导电而造成灭火人员的触电事故。</w:t>
      </w:r>
    </w:p>
    <w:p>
      <w:pPr>
        <w:spacing w:line="460" w:lineRule="exact"/>
        <w:ind w:firstLine="420" w:firstLineChars="200"/>
        <w:rPr>
          <w:bCs/>
          <w:szCs w:val="21"/>
        </w:rPr>
      </w:pPr>
      <w:r>
        <w:rPr>
          <w:rFonts w:hint="eastAsia"/>
          <w:bCs/>
          <w:szCs w:val="21"/>
        </w:rPr>
        <w:t>（3）</w:t>
      </w:r>
      <w:r>
        <w:rPr>
          <w:bCs/>
          <w:szCs w:val="21"/>
        </w:rPr>
        <w:t>化学试剂的着火，除一般非危险品可用通常的灭火方法外，属于危险品的火灾，应根据它们的理化特性，采取不同的灭火方法，否则起不到灭火的作用，反而会造成更大的火灾或人身事故。</w:t>
      </w:r>
    </w:p>
    <w:p>
      <w:pPr>
        <w:spacing w:line="460" w:lineRule="exact"/>
        <w:ind w:firstLine="420" w:firstLineChars="200"/>
        <w:rPr>
          <w:bCs/>
          <w:szCs w:val="21"/>
        </w:rPr>
      </w:pPr>
      <w:r>
        <w:rPr>
          <w:rFonts w:hint="eastAsia"/>
          <w:bCs/>
          <w:szCs w:val="21"/>
        </w:rPr>
        <w:t>（4）</w:t>
      </w:r>
      <w:r>
        <w:rPr>
          <w:bCs/>
          <w:szCs w:val="21"/>
        </w:rPr>
        <w:t>如在实验过程中，化验员的衣装着火时，应立即用浸水的物品蒙在着火者身上，使之不能与空气或其它氧化剂接触而窒息灭火。切不可慌忙跑动，避免气流流动，使火情增大，造成更大伤害。</w:t>
      </w:r>
    </w:p>
    <w:p>
      <w:pPr>
        <w:spacing w:line="460" w:lineRule="exact"/>
        <w:ind w:firstLine="420" w:firstLineChars="200"/>
        <w:rPr>
          <w:bCs/>
          <w:szCs w:val="21"/>
        </w:rPr>
      </w:pPr>
      <w:r>
        <w:rPr>
          <w:rFonts w:hint="eastAsia"/>
          <w:bCs/>
          <w:szCs w:val="21"/>
        </w:rPr>
        <w:t>（5）</w:t>
      </w:r>
      <w:r>
        <w:rPr>
          <w:bCs/>
          <w:szCs w:val="21"/>
        </w:rPr>
        <w:t>在实验过程中，小范围起火时，立即用</w:t>
      </w:r>
      <w:r>
        <w:rPr>
          <w:rFonts w:hint="eastAsia"/>
          <w:bCs/>
          <w:szCs w:val="21"/>
        </w:rPr>
        <w:t>灭火毯或</w:t>
      </w:r>
      <w:r>
        <w:rPr>
          <w:bCs/>
          <w:szCs w:val="21"/>
        </w:rPr>
        <w:t>湿抹布扑灭明火，并及时切断电源，关闭可燃性气体阀门。对范围较大的火情立即用消防砂或干粉灭火</w:t>
      </w:r>
      <w:r>
        <w:rPr>
          <w:rFonts w:hint="eastAsia"/>
          <w:bCs/>
          <w:szCs w:val="21"/>
        </w:rPr>
        <w:t>器</w:t>
      </w:r>
      <w:r>
        <w:rPr>
          <w:bCs/>
          <w:szCs w:val="21"/>
        </w:rPr>
        <w:t>扑救，并及时报警。</w:t>
      </w:r>
    </w:p>
    <w:p>
      <w:pPr>
        <w:spacing w:line="460" w:lineRule="exact"/>
        <w:ind w:firstLine="420" w:firstLineChars="200"/>
        <w:rPr>
          <w:bCs/>
          <w:szCs w:val="21"/>
        </w:rPr>
      </w:pPr>
      <w:r>
        <w:rPr>
          <w:rFonts w:hint="eastAsia"/>
          <w:bCs/>
          <w:szCs w:val="21"/>
        </w:rPr>
        <w:t>（6）</w:t>
      </w:r>
      <w:r>
        <w:rPr>
          <w:bCs/>
          <w:szCs w:val="21"/>
        </w:rPr>
        <w:t>各</w:t>
      </w:r>
      <w:r>
        <w:rPr>
          <w:rFonts w:hint="eastAsia"/>
          <w:bCs/>
          <w:szCs w:val="21"/>
        </w:rPr>
        <w:t>化</w:t>
      </w:r>
      <w:r>
        <w:rPr>
          <w:bCs/>
          <w:szCs w:val="21"/>
        </w:rPr>
        <w:t>验楼</w:t>
      </w:r>
      <w:r>
        <w:rPr>
          <w:rFonts w:hint="eastAsia"/>
          <w:bCs/>
          <w:szCs w:val="21"/>
        </w:rPr>
        <w:t>负责人</w:t>
      </w:r>
      <w:r>
        <w:rPr>
          <w:bCs/>
          <w:szCs w:val="21"/>
        </w:rPr>
        <w:t>要全面负责本</w:t>
      </w:r>
      <w:r>
        <w:rPr>
          <w:rFonts w:hint="eastAsia"/>
          <w:bCs/>
          <w:szCs w:val="21"/>
        </w:rPr>
        <w:t>化</w:t>
      </w:r>
      <w:r>
        <w:rPr>
          <w:bCs/>
          <w:szCs w:val="21"/>
        </w:rPr>
        <w:t>验楼的安全工作，定期检查本</w:t>
      </w:r>
      <w:r>
        <w:rPr>
          <w:rFonts w:hint="eastAsia"/>
          <w:bCs/>
          <w:szCs w:val="21"/>
        </w:rPr>
        <w:t>化</w:t>
      </w:r>
      <w:r>
        <w:rPr>
          <w:bCs/>
          <w:szCs w:val="21"/>
        </w:rPr>
        <w:t>验楼的安全工作状况，保证各项安全规章制度的贯彻执行，有权制止违反安全规章制度的一切行为，消除隐患，预防事故发生。</w:t>
      </w:r>
    </w:p>
    <w:p>
      <w:pPr>
        <w:spacing w:line="460" w:lineRule="exact"/>
        <w:ind w:firstLine="420" w:firstLineChars="200"/>
        <w:rPr>
          <w:bCs/>
          <w:szCs w:val="21"/>
        </w:rPr>
      </w:pPr>
      <w:r>
        <w:rPr>
          <w:rFonts w:hint="eastAsia"/>
          <w:bCs/>
          <w:szCs w:val="21"/>
        </w:rPr>
        <w:t>（7）</w:t>
      </w:r>
      <w:r>
        <w:rPr>
          <w:bCs/>
          <w:szCs w:val="21"/>
        </w:rPr>
        <w:t>化验员在工作完毕离开</w:t>
      </w:r>
      <w:r>
        <w:rPr>
          <w:rFonts w:hint="eastAsia"/>
          <w:bCs/>
          <w:szCs w:val="21"/>
        </w:rPr>
        <w:t>化验室</w:t>
      </w:r>
      <w:r>
        <w:rPr>
          <w:bCs/>
          <w:szCs w:val="21"/>
        </w:rPr>
        <w:t>时，要确实做到断电、断水、关闭门窗。凡遇节假日，都要进行一次</w:t>
      </w:r>
      <w:r>
        <w:rPr>
          <w:rFonts w:hint="eastAsia"/>
          <w:bCs/>
          <w:szCs w:val="21"/>
        </w:rPr>
        <w:t>有效</w:t>
      </w:r>
      <w:r>
        <w:rPr>
          <w:bCs/>
          <w:szCs w:val="21"/>
        </w:rPr>
        <w:t>安全检查。</w:t>
      </w:r>
    </w:p>
    <w:p>
      <w:pPr>
        <w:pStyle w:val="2"/>
        <w:spacing w:before="0" w:after="0"/>
        <w:rPr>
          <w:rFonts w:ascii="黑体" w:hAnsi="黑体" w:eastAsia="黑体"/>
          <w:bCs/>
          <w:sz w:val="21"/>
          <w:szCs w:val="21"/>
        </w:rPr>
      </w:pPr>
      <w:bookmarkStart w:id="53" w:name="_Toc34083620"/>
      <w:r>
        <w:rPr>
          <w:rFonts w:ascii="黑体" w:hAnsi="黑体" w:eastAsia="黑体"/>
          <w:bCs/>
          <w:sz w:val="21"/>
          <w:szCs w:val="21"/>
        </w:rPr>
        <w:t>13  三废处理</w:t>
      </w:r>
      <w:bookmarkEnd w:id="53"/>
    </w:p>
    <w:p>
      <w:pPr>
        <w:spacing w:line="460" w:lineRule="exact"/>
        <w:ind w:firstLine="420" w:firstLineChars="200"/>
        <w:rPr>
          <w:bCs/>
          <w:szCs w:val="21"/>
        </w:rPr>
      </w:pPr>
      <w:r>
        <w:rPr>
          <w:rFonts w:hint="eastAsia"/>
          <w:bCs/>
          <w:szCs w:val="21"/>
        </w:rPr>
        <w:t>化验室废水、废气、固体废弃物的处理原则应按照《实验室废弃化学品收集技术规范》（GB/T 31190-2014）、《危险废物贮存污染控制标准》（GB 18597-2001）、《关于进一步加强实验室废物处置监管工作的通知》（浙环发〔2019〕23号）有关要求做好分类收集工作，建设规范且满足防渗防漏需求的贮存设施，并按普通有机类、普通无机类、含重金属类、含汞等高危物质（除剧毒品外）类、剧毒废试剂类、易燃易爆类等分类存放，要按照相关法律法规要求执行危险废物申报登记、管理计划备案、转移联单等管理制度，做到分类收集贮存、合法委托处置，严禁非法处置。</w:t>
      </w:r>
    </w:p>
    <w:p>
      <w:pPr>
        <w:spacing w:line="324" w:lineRule="auto"/>
        <w:ind w:firstLine="420" w:firstLineChars="200"/>
        <w:rPr>
          <w:bCs/>
          <w:szCs w:val="21"/>
        </w:rPr>
      </w:pPr>
      <w:r>
        <w:rPr>
          <w:bCs/>
          <w:szCs w:val="21"/>
        </w:rPr>
        <w:br w:type="page"/>
      </w:r>
    </w:p>
    <w:p>
      <w:pPr>
        <w:spacing w:line="324" w:lineRule="auto"/>
        <w:ind w:firstLine="420" w:firstLineChars="200"/>
        <w:rPr>
          <w:bCs/>
          <w:szCs w:val="21"/>
        </w:rPr>
        <w:sectPr>
          <w:pgSz w:w="11906" w:h="16838"/>
          <w:pgMar w:top="1440" w:right="1800" w:bottom="1440" w:left="1800" w:header="851" w:footer="992" w:gutter="0"/>
          <w:cols w:space="425" w:num="1"/>
          <w:docGrid w:type="lines" w:linePitch="312" w:charSpace="0"/>
        </w:sectPr>
      </w:pPr>
    </w:p>
    <w:p>
      <w:pPr>
        <w:pStyle w:val="2"/>
        <w:rPr>
          <w:rFonts w:ascii="黑体" w:hAnsi="黑体" w:eastAsia="黑体"/>
          <w:sz w:val="21"/>
          <w:szCs w:val="21"/>
        </w:rPr>
      </w:pPr>
      <w:bookmarkStart w:id="54" w:name="_Toc34083621"/>
      <w:r>
        <w:rPr>
          <w:rFonts w:hint="eastAsia" w:ascii="黑体" w:hAnsi="黑体" w:eastAsia="黑体"/>
          <w:sz w:val="21"/>
          <w:szCs w:val="21"/>
        </w:rPr>
        <w:t>附录1</w:t>
      </w:r>
      <w:r>
        <w:rPr>
          <w:rFonts w:ascii="黑体" w:hAnsi="黑体" w:eastAsia="黑体"/>
          <w:sz w:val="21"/>
          <w:szCs w:val="21"/>
        </w:rPr>
        <w:t xml:space="preserve">  </w:t>
      </w:r>
      <w:r>
        <w:rPr>
          <w:rFonts w:hint="eastAsia" w:ascii="黑体" w:hAnsi="黑体" w:eastAsia="黑体"/>
          <w:sz w:val="21"/>
          <w:szCs w:val="21"/>
        </w:rPr>
        <w:t>质量质控指标表</w:t>
      </w:r>
      <w:bookmarkEnd w:id="54"/>
    </w:p>
    <w:p>
      <w:pPr>
        <w:jc w:val="center"/>
      </w:pPr>
      <w:r>
        <w:rPr>
          <w:rFonts w:hint="eastAsia"/>
          <w:sz w:val="24"/>
        </w:rPr>
        <w:t>化验室质量质控指标表（建议）</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850"/>
        <w:gridCol w:w="993"/>
        <w:gridCol w:w="992"/>
        <w:gridCol w:w="992"/>
        <w:gridCol w:w="992"/>
        <w:gridCol w:w="851"/>
        <w:gridCol w:w="850"/>
        <w:gridCol w:w="2127"/>
        <w:gridCol w:w="2693"/>
        <w:gridCol w:w="2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2" w:type="dxa"/>
            <w:vMerge w:val="restart"/>
            <w:vAlign w:val="center"/>
          </w:tcPr>
          <w:p>
            <w:pPr>
              <w:spacing w:line="240" w:lineRule="atLeast"/>
              <w:jc w:val="center"/>
            </w:pPr>
            <w:r>
              <w:rPr>
                <w:rFonts w:hint="eastAsia"/>
              </w:rPr>
              <w:t>序号</w:t>
            </w:r>
          </w:p>
        </w:tc>
        <w:tc>
          <w:tcPr>
            <w:tcW w:w="850" w:type="dxa"/>
            <w:vMerge w:val="restart"/>
            <w:vAlign w:val="center"/>
          </w:tcPr>
          <w:p>
            <w:pPr>
              <w:spacing w:line="240" w:lineRule="atLeast"/>
              <w:jc w:val="center"/>
            </w:pPr>
            <w:r>
              <w:rPr>
                <w:rFonts w:hint="eastAsia"/>
              </w:rPr>
              <w:t>项目</w:t>
            </w:r>
          </w:p>
        </w:tc>
        <w:tc>
          <w:tcPr>
            <w:tcW w:w="993" w:type="dxa"/>
            <w:vMerge w:val="restart"/>
            <w:vAlign w:val="center"/>
          </w:tcPr>
          <w:p>
            <w:pPr>
              <w:spacing w:line="240" w:lineRule="atLeast"/>
              <w:jc w:val="center"/>
            </w:pPr>
            <w:r>
              <w:rPr>
                <w:rFonts w:hint="eastAsia"/>
              </w:rPr>
              <w:t>样品含量范围(mg</w:t>
            </w:r>
            <w:r>
              <w:t>/L</w:t>
            </w:r>
            <w:r>
              <w:rPr>
                <w:rFonts w:hint="eastAsia"/>
              </w:rPr>
              <w:t>)</w:t>
            </w:r>
          </w:p>
        </w:tc>
        <w:tc>
          <w:tcPr>
            <w:tcW w:w="1984" w:type="dxa"/>
            <w:gridSpan w:val="2"/>
            <w:vAlign w:val="center"/>
          </w:tcPr>
          <w:p>
            <w:pPr>
              <w:spacing w:line="240" w:lineRule="atLeast"/>
              <w:jc w:val="center"/>
            </w:pPr>
            <w:r>
              <w:rPr>
                <w:rFonts w:hint="eastAsia"/>
              </w:rPr>
              <w:t>精密度</w:t>
            </w:r>
          </w:p>
        </w:tc>
        <w:tc>
          <w:tcPr>
            <w:tcW w:w="2693" w:type="dxa"/>
            <w:gridSpan w:val="3"/>
            <w:vAlign w:val="center"/>
          </w:tcPr>
          <w:p>
            <w:pPr>
              <w:spacing w:line="240" w:lineRule="atLeast"/>
              <w:jc w:val="center"/>
            </w:pPr>
            <w:r>
              <w:rPr>
                <w:rFonts w:hint="eastAsia"/>
              </w:rPr>
              <w:t>准确度（%）</w:t>
            </w:r>
          </w:p>
        </w:tc>
        <w:tc>
          <w:tcPr>
            <w:tcW w:w="2127" w:type="dxa"/>
            <w:vMerge w:val="restart"/>
            <w:vAlign w:val="center"/>
          </w:tcPr>
          <w:p>
            <w:pPr>
              <w:spacing w:line="240" w:lineRule="atLeast"/>
              <w:jc w:val="center"/>
            </w:pPr>
            <w:r>
              <w:rPr>
                <w:rFonts w:hint="eastAsia"/>
              </w:rPr>
              <w:t>检出限（mg</w:t>
            </w:r>
            <w:r>
              <w:t>/L</w:t>
            </w:r>
            <w:r>
              <w:rPr>
                <w:rFonts w:hint="eastAsia"/>
              </w:rPr>
              <w:t>）</w:t>
            </w:r>
          </w:p>
        </w:tc>
        <w:tc>
          <w:tcPr>
            <w:tcW w:w="2693" w:type="dxa"/>
            <w:vMerge w:val="restart"/>
            <w:vAlign w:val="center"/>
          </w:tcPr>
          <w:p>
            <w:pPr>
              <w:spacing w:line="240" w:lineRule="atLeast"/>
              <w:jc w:val="center"/>
            </w:pPr>
            <w:r>
              <w:rPr>
                <w:rFonts w:hint="eastAsia"/>
              </w:rPr>
              <w:t>有效位数/小数位数</w:t>
            </w:r>
          </w:p>
        </w:tc>
        <w:tc>
          <w:tcPr>
            <w:tcW w:w="2442" w:type="dxa"/>
            <w:vMerge w:val="restart"/>
            <w:vAlign w:val="center"/>
          </w:tcPr>
          <w:p>
            <w:pPr>
              <w:spacing w:line="240" w:lineRule="atLeast"/>
              <w:jc w:val="center"/>
            </w:pPr>
            <w:r>
              <w:rPr>
                <w:rFonts w:hint="eastAsia"/>
              </w:rPr>
              <w:t>出处、方法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2"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993" w:type="dxa"/>
            <w:vMerge w:val="continue"/>
            <w:vAlign w:val="center"/>
          </w:tcPr>
          <w:p>
            <w:pPr>
              <w:spacing w:line="240" w:lineRule="atLeast"/>
              <w:jc w:val="center"/>
            </w:pPr>
          </w:p>
        </w:tc>
        <w:tc>
          <w:tcPr>
            <w:tcW w:w="992" w:type="dxa"/>
            <w:vAlign w:val="center"/>
          </w:tcPr>
          <w:p>
            <w:pPr>
              <w:spacing w:line="240" w:lineRule="atLeast"/>
              <w:jc w:val="center"/>
            </w:pPr>
            <w:r>
              <w:rPr>
                <w:rFonts w:hint="eastAsia"/>
              </w:rPr>
              <w:t>室内相对偏差</w:t>
            </w:r>
          </w:p>
        </w:tc>
        <w:tc>
          <w:tcPr>
            <w:tcW w:w="992" w:type="dxa"/>
            <w:vAlign w:val="center"/>
          </w:tcPr>
          <w:p>
            <w:pPr>
              <w:spacing w:line="240" w:lineRule="atLeast"/>
              <w:jc w:val="center"/>
            </w:pPr>
            <w:r>
              <w:rPr>
                <w:rFonts w:hint="eastAsia"/>
              </w:rPr>
              <w:t>室间相对偏差</w:t>
            </w:r>
          </w:p>
        </w:tc>
        <w:tc>
          <w:tcPr>
            <w:tcW w:w="992" w:type="dxa"/>
            <w:vAlign w:val="center"/>
          </w:tcPr>
          <w:p>
            <w:pPr>
              <w:spacing w:line="240" w:lineRule="atLeast"/>
              <w:jc w:val="center"/>
            </w:pPr>
            <w:r>
              <w:rPr>
                <w:rFonts w:hint="eastAsia"/>
              </w:rPr>
              <w:t>加标回收率</w:t>
            </w:r>
          </w:p>
        </w:tc>
        <w:tc>
          <w:tcPr>
            <w:tcW w:w="851" w:type="dxa"/>
            <w:vAlign w:val="center"/>
          </w:tcPr>
          <w:p>
            <w:pPr>
              <w:spacing w:line="240" w:lineRule="atLeast"/>
              <w:jc w:val="center"/>
            </w:pPr>
            <w:r>
              <w:rPr>
                <w:rFonts w:hint="eastAsia"/>
              </w:rPr>
              <w:t>室内相对偏差</w:t>
            </w:r>
          </w:p>
        </w:tc>
        <w:tc>
          <w:tcPr>
            <w:tcW w:w="850" w:type="dxa"/>
            <w:vAlign w:val="center"/>
          </w:tcPr>
          <w:p>
            <w:pPr>
              <w:spacing w:line="240" w:lineRule="atLeast"/>
              <w:jc w:val="center"/>
            </w:pPr>
            <w:r>
              <w:rPr>
                <w:rFonts w:hint="eastAsia"/>
              </w:rPr>
              <w:t>室间相对偏差</w:t>
            </w:r>
          </w:p>
        </w:tc>
        <w:tc>
          <w:tcPr>
            <w:tcW w:w="2127" w:type="dxa"/>
            <w:vMerge w:val="continue"/>
            <w:vAlign w:val="center"/>
          </w:tcPr>
          <w:p>
            <w:pPr>
              <w:spacing w:line="240" w:lineRule="atLeast"/>
              <w:jc w:val="center"/>
            </w:pPr>
          </w:p>
        </w:tc>
        <w:tc>
          <w:tcPr>
            <w:tcW w:w="2693" w:type="dxa"/>
            <w:vMerge w:val="continue"/>
            <w:vAlign w:val="center"/>
          </w:tcPr>
          <w:p>
            <w:pPr>
              <w:spacing w:line="240" w:lineRule="atLeast"/>
              <w:jc w:val="center"/>
            </w:pPr>
          </w:p>
        </w:tc>
        <w:tc>
          <w:tcPr>
            <w:tcW w:w="2442" w:type="dxa"/>
            <w:vMerge w:val="continue"/>
            <w:vAlign w:val="center"/>
          </w:tcPr>
          <w:p>
            <w:pPr>
              <w:spacing w:line="24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restart"/>
            <w:vAlign w:val="center"/>
          </w:tcPr>
          <w:p>
            <w:pPr>
              <w:spacing w:line="240" w:lineRule="atLeast"/>
              <w:jc w:val="center"/>
            </w:pPr>
            <w:r>
              <w:rPr>
                <w:rFonts w:hint="eastAsia"/>
              </w:rPr>
              <w:t>1</w:t>
            </w:r>
          </w:p>
        </w:tc>
        <w:tc>
          <w:tcPr>
            <w:tcW w:w="850" w:type="dxa"/>
            <w:vMerge w:val="restart"/>
            <w:vAlign w:val="center"/>
          </w:tcPr>
          <w:p>
            <w:pPr>
              <w:spacing w:line="240" w:lineRule="atLeast"/>
              <w:jc w:val="center"/>
            </w:pPr>
            <w:r>
              <w:rPr>
                <w:rFonts w:hint="eastAsia"/>
              </w:rPr>
              <w:t>p</w:t>
            </w:r>
            <w:r>
              <w:t>H</w:t>
            </w:r>
            <w:r>
              <w:rPr>
                <w:rFonts w:hint="eastAsia"/>
              </w:rPr>
              <w:t>值</w:t>
            </w:r>
          </w:p>
        </w:tc>
        <w:tc>
          <w:tcPr>
            <w:tcW w:w="993" w:type="dxa"/>
            <w:vAlign w:val="center"/>
          </w:tcPr>
          <w:p>
            <w:pPr>
              <w:spacing w:line="240" w:lineRule="atLeast"/>
              <w:jc w:val="center"/>
            </w:pPr>
            <w:r>
              <w:rPr>
                <w:rFonts w:hint="eastAsia"/>
              </w:rPr>
              <w:t>＜</w:t>
            </w:r>
            <w:r>
              <w:t>6</w:t>
            </w:r>
          </w:p>
        </w:tc>
        <w:tc>
          <w:tcPr>
            <w:tcW w:w="992" w:type="dxa"/>
            <w:vAlign w:val="center"/>
          </w:tcPr>
          <w:p>
            <w:pPr>
              <w:spacing w:line="240" w:lineRule="atLeast"/>
              <w:jc w:val="center"/>
            </w:pPr>
            <w:r>
              <w:rPr>
                <w:rFonts w:hint="eastAsia"/>
              </w:rPr>
              <w:t>允许差±0</w:t>
            </w:r>
            <w:r>
              <w:t>.1</w:t>
            </w:r>
          </w:p>
        </w:tc>
        <w:tc>
          <w:tcPr>
            <w:tcW w:w="992" w:type="dxa"/>
            <w:vAlign w:val="center"/>
          </w:tcPr>
          <w:p>
            <w:pPr>
              <w:spacing w:line="240" w:lineRule="atLeast"/>
              <w:jc w:val="center"/>
            </w:pPr>
            <w:r>
              <w:rPr>
                <w:rFonts w:hint="eastAsia"/>
              </w:rPr>
              <w:t>允许差±0</w:t>
            </w:r>
            <w:r>
              <w:t>.3</w:t>
            </w:r>
          </w:p>
        </w:tc>
        <w:tc>
          <w:tcPr>
            <w:tcW w:w="992" w:type="dxa"/>
            <w:vAlign w:val="center"/>
          </w:tcPr>
          <w:p>
            <w:pPr>
              <w:spacing w:line="240" w:lineRule="atLeast"/>
              <w:jc w:val="center"/>
            </w:pPr>
            <w:r>
              <w:rPr>
                <w:rFonts w:hint="eastAsia"/>
              </w:rPr>
              <w:t>/</w:t>
            </w:r>
          </w:p>
        </w:tc>
        <w:tc>
          <w:tcPr>
            <w:tcW w:w="851" w:type="dxa"/>
            <w:vAlign w:val="center"/>
          </w:tcPr>
          <w:p>
            <w:pPr>
              <w:spacing w:line="240" w:lineRule="atLeast"/>
              <w:jc w:val="center"/>
            </w:pPr>
            <w:r>
              <w:rPr>
                <w:rFonts w:hint="eastAsia"/>
              </w:rPr>
              <w:t>/</w:t>
            </w:r>
          </w:p>
        </w:tc>
        <w:tc>
          <w:tcPr>
            <w:tcW w:w="850" w:type="dxa"/>
            <w:vAlign w:val="center"/>
          </w:tcPr>
          <w:p>
            <w:pPr>
              <w:spacing w:line="240" w:lineRule="atLeast"/>
              <w:jc w:val="center"/>
            </w:pPr>
            <w:r>
              <w:rPr>
                <w:rFonts w:hint="eastAsia"/>
              </w:rPr>
              <w:t>/</w:t>
            </w:r>
          </w:p>
        </w:tc>
        <w:tc>
          <w:tcPr>
            <w:tcW w:w="2127" w:type="dxa"/>
            <w:vMerge w:val="restart"/>
            <w:vAlign w:val="center"/>
          </w:tcPr>
          <w:p>
            <w:pPr>
              <w:spacing w:line="240" w:lineRule="atLeast"/>
              <w:jc w:val="center"/>
            </w:pPr>
            <w:r>
              <w:rPr>
                <w:rFonts w:hint="eastAsia"/>
              </w:rPr>
              <w:t>0</w:t>
            </w:r>
            <w:r>
              <w:t>.1</w:t>
            </w:r>
            <w:r>
              <w:rPr>
                <w:rFonts w:hint="eastAsia"/>
              </w:rPr>
              <w:t>p</w:t>
            </w:r>
            <w:r>
              <w:t>H</w:t>
            </w:r>
          </w:p>
        </w:tc>
        <w:tc>
          <w:tcPr>
            <w:tcW w:w="2693" w:type="dxa"/>
            <w:vMerge w:val="restart"/>
            <w:vAlign w:val="center"/>
          </w:tcPr>
          <w:p>
            <w:pPr>
              <w:spacing w:line="240" w:lineRule="atLeast"/>
              <w:jc w:val="center"/>
            </w:pPr>
            <w:r>
              <w:rPr>
                <w:rFonts w:hint="eastAsia"/>
              </w:rPr>
              <w:t>＜</w:t>
            </w:r>
            <w:r>
              <w:t>1pH</w:t>
            </w:r>
            <w:r>
              <w:rPr>
                <w:rFonts w:hint="eastAsia"/>
              </w:rPr>
              <w:t>，小数点后2位；</w:t>
            </w:r>
          </w:p>
          <w:p>
            <w:pPr>
              <w:spacing w:line="240" w:lineRule="atLeast"/>
              <w:jc w:val="center"/>
            </w:pPr>
            <w:r>
              <w:rPr>
                <w:rFonts w:hint="eastAsia"/>
              </w:rPr>
              <w:t>≥</w:t>
            </w:r>
            <w:r>
              <w:t>1pH</w:t>
            </w:r>
            <w:r>
              <w:rPr>
                <w:rFonts w:hint="eastAsia"/>
              </w:rPr>
              <w:t>，</w:t>
            </w:r>
            <w:r>
              <w:t>3</w:t>
            </w:r>
            <w:r>
              <w:rPr>
                <w:rFonts w:hint="eastAsia"/>
              </w:rPr>
              <w:t>位有效数字</w:t>
            </w:r>
          </w:p>
        </w:tc>
        <w:tc>
          <w:tcPr>
            <w:tcW w:w="2442" w:type="dxa"/>
            <w:vMerge w:val="restart"/>
            <w:vAlign w:val="center"/>
          </w:tcPr>
          <w:p>
            <w:pPr>
              <w:spacing w:line="240" w:lineRule="atLeast"/>
              <w:jc w:val="center"/>
            </w:pPr>
            <w:r>
              <w:rPr>
                <w:rFonts w:hint="eastAsia"/>
              </w:rPr>
              <w:t>浙江省技术规定第三版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993" w:type="dxa"/>
            <w:vAlign w:val="center"/>
          </w:tcPr>
          <w:p>
            <w:pPr>
              <w:spacing w:line="240" w:lineRule="atLeast"/>
              <w:jc w:val="center"/>
            </w:pPr>
            <w:r>
              <w:rPr>
                <w:rFonts w:hint="eastAsia"/>
              </w:rPr>
              <w:t>6</w:t>
            </w:r>
            <w:r>
              <w:t>~9</w:t>
            </w:r>
          </w:p>
        </w:tc>
        <w:tc>
          <w:tcPr>
            <w:tcW w:w="992" w:type="dxa"/>
            <w:vAlign w:val="center"/>
          </w:tcPr>
          <w:p>
            <w:pPr>
              <w:spacing w:line="240" w:lineRule="atLeast"/>
              <w:jc w:val="center"/>
            </w:pPr>
            <w:r>
              <w:rPr>
                <w:rFonts w:hint="eastAsia"/>
              </w:rPr>
              <w:t>允许差±0</w:t>
            </w:r>
            <w:r>
              <w:t>.1</w:t>
            </w:r>
          </w:p>
        </w:tc>
        <w:tc>
          <w:tcPr>
            <w:tcW w:w="992" w:type="dxa"/>
            <w:vAlign w:val="center"/>
          </w:tcPr>
          <w:p>
            <w:pPr>
              <w:spacing w:line="240" w:lineRule="atLeast"/>
              <w:jc w:val="center"/>
            </w:pPr>
            <w:r>
              <w:rPr>
                <w:rFonts w:hint="eastAsia"/>
              </w:rPr>
              <w:t>允许差±0</w:t>
            </w:r>
            <w:r>
              <w:t>.2</w:t>
            </w:r>
          </w:p>
        </w:tc>
        <w:tc>
          <w:tcPr>
            <w:tcW w:w="992" w:type="dxa"/>
            <w:vAlign w:val="center"/>
          </w:tcPr>
          <w:p>
            <w:pPr>
              <w:spacing w:line="240" w:lineRule="atLeast"/>
              <w:jc w:val="center"/>
            </w:pPr>
            <w:r>
              <w:rPr>
                <w:rFonts w:hint="eastAsia"/>
              </w:rPr>
              <w:t>/</w:t>
            </w:r>
          </w:p>
        </w:tc>
        <w:tc>
          <w:tcPr>
            <w:tcW w:w="851" w:type="dxa"/>
            <w:vAlign w:val="center"/>
          </w:tcPr>
          <w:p>
            <w:pPr>
              <w:spacing w:line="240" w:lineRule="atLeast"/>
              <w:jc w:val="center"/>
            </w:pPr>
            <w:r>
              <w:rPr>
                <w:rFonts w:hint="eastAsia"/>
              </w:rPr>
              <w:t>/</w:t>
            </w:r>
          </w:p>
        </w:tc>
        <w:tc>
          <w:tcPr>
            <w:tcW w:w="850" w:type="dxa"/>
            <w:vAlign w:val="center"/>
          </w:tcPr>
          <w:p>
            <w:pPr>
              <w:spacing w:line="240" w:lineRule="atLeast"/>
              <w:jc w:val="center"/>
            </w:pPr>
            <w:r>
              <w:rPr>
                <w:rFonts w:hint="eastAsia"/>
              </w:rPr>
              <w:t>/</w:t>
            </w:r>
          </w:p>
        </w:tc>
        <w:tc>
          <w:tcPr>
            <w:tcW w:w="2127" w:type="dxa"/>
            <w:vMerge w:val="continue"/>
            <w:vAlign w:val="center"/>
          </w:tcPr>
          <w:p>
            <w:pPr>
              <w:spacing w:line="240" w:lineRule="atLeast"/>
              <w:jc w:val="center"/>
            </w:pPr>
          </w:p>
        </w:tc>
        <w:tc>
          <w:tcPr>
            <w:tcW w:w="2693" w:type="dxa"/>
            <w:vMerge w:val="continue"/>
            <w:vAlign w:val="center"/>
          </w:tcPr>
          <w:p>
            <w:pPr>
              <w:spacing w:line="240" w:lineRule="atLeast"/>
              <w:jc w:val="center"/>
            </w:pPr>
          </w:p>
        </w:tc>
        <w:tc>
          <w:tcPr>
            <w:tcW w:w="2442" w:type="dxa"/>
            <w:vMerge w:val="continue"/>
            <w:vAlign w:val="center"/>
          </w:tcPr>
          <w:p>
            <w:pPr>
              <w:spacing w:line="24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993" w:type="dxa"/>
            <w:vAlign w:val="center"/>
          </w:tcPr>
          <w:p>
            <w:pPr>
              <w:spacing w:line="240" w:lineRule="atLeast"/>
              <w:jc w:val="center"/>
            </w:pPr>
            <w:r>
              <w:rPr>
                <w:rFonts w:hint="eastAsia"/>
              </w:rPr>
              <w:t>＞</w:t>
            </w:r>
            <w:r>
              <w:t>9</w:t>
            </w:r>
          </w:p>
        </w:tc>
        <w:tc>
          <w:tcPr>
            <w:tcW w:w="992" w:type="dxa"/>
            <w:vAlign w:val="center"/>
          </w:tcPr>
          <w:p>
            <w:pPr>
              <w:spacing w:line="240" w:lineRule="atLeast"/>
              <w:jc w:val="center"/>
            </w:pPr>
            <w:r>
              <w:rPr>
                <w:rFonts w:hint="eastAsia"/>
              </w:rPr>
              <w:t>允许差±0</w:t>
            </w:r>
            <w:r>
              <w:t>.2</w:t>
            </w:r>
          </w:p>
        </w:tc>
        <w:tc>
          <w:tcPr>
            <w:tcW w:w="992" w:type="dxa"/>
            <w:vAlign w:val="center"/>
          </w:tcPr>
          <w:p>
            <w:pPr>
              <w:spacing w:line="240" w:lineRule="atLeast"/>
              <w:jc w:val="center"/>
            </w:pPr>
            <w:r>
              <w:rPr>
                <w:rFonts w:hint="eastAsia"/>
              </w:rPr>
              <w:t>允许差±0</w:t>
            </w:r>
            <w:r>
              <w:t>.5</w:t>
            </w:r>
          </w:p>
        </w:tc>
        <w:tc>
          <w:tcPr>
            <w:tcW w:w="992" w:type="dxa"/>
            <w:vAlign w:val="center"/>
          </w:tcPr>
          <w:p>
            <w:pPr>
              <w:spacing w:line="240" w:lineRule="atLeast"/>
              <w:jc w:val="center"/>
            </w:pPr>
            <w:r>
              <w:rPr>
                <w:rFonts w:hint="eastAsia"/>
              </w:rPr>
              <w:t>/</w:t>
            </w:r>
          </w:p>
        </w:tc>
        <w:tc>
          <w:tcPr>
            <w:tcW w:w="851" w:type="dxa"/>
            <w:vAlign w:val="center"/>
          </w:tcPr>
          <w:p>
            <w:pPr>
              <w:spacing w:line="240" w:lineRule="atLeast"/>
              <w:jc w:val="center"/>
            </w:pPr>
            <w:r>
              <w:rPr>
                <w:rFonts w:hint="eastAsia"/>
              </w:rPr>
              <w:t>/</w:t>
            </w:r>
          </w:p>
        </w:tc>
        <w:tc>
          <w:tcPr>
            <w:tcW w:w="850" w:type="dxa"/>
            <w:vAlign w:val="center"/>
          </w:tcPr>
          <w:p>
            <w:pPr>
              <w:spacing w:line="240" w:lineRule="atLeast"/>
              <w:jc w:val="center"/>
            </w:pPr>
            <w:r>
              <w:rPr>
                <w:rFonts w:hint="eastAsia"/>
              </w:rPr>
              <w:t>/</w:t>
            </w:r>
          </w:p>
        </w:tc>
        <w:tc>
          <w:tcPr>
            <w:tcW w:w="2127" w:type="dxa"/>
            <w:vMerge w:val="continue"/>
            <w:vAlign w:val="center"/>
          </w:tcPr>
          <w:p>
            <w:pPr>
              <w:spacing w:line="240" w:lineRule="atLeast"/>
              <w:jc w:val="center"/>
            </w:pPr>
          </w:p>
        </w:tc>
        <w:tc>
          <w:tcPr>
            <w:tcW w:w="2693" w:type="dxa"/>
            <w:vMerge w:val="continue"/>
            <w:vAlign w:val="center"/>
          </w:tcPr>
          <w:p>
            <w:pPr>
              <w:spacing w:line="240" w:lineRule="atLeast"/>
              <w:jc w:val="center"/>
            </w:pPr>
          </w:p>
        </w:tc>
        <w:tc>
          <w:tcPr>
            <w:tcW w:w="2442" w:type="dxa"/>
            <w:vMerge w:val="continue"/>
            <w:vAlign w:val="center"/>
          </w:tcPr>
          <w:p>
            <w:pPr>
              <w:spacing w:line="24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restart"/>
            <w:vAlign w:val="center"/>
          </w:tcPr>
          <w:p>
            <w:pPr>
              <w:spacing w:line="240" w:lineRule="atLeast"/>
              <w:jc w:val="center"/>
            </w:pPr>
            <w:r>
              <w:t>2</w:t>
            </w:r>
          </w:p>
        </w:tc>
        <w:tc>
          <w:tcPr>
            <w:tcW w:w="850" w:type="dxa"/>
            <w:vMerge w:val="restart"/>
            <w:vAlign w:val="center"/>
          </w:tcPr>
          <w:p>
            <w:pPr>
              <w:spacing w:line="240" w:lineRule="atLeast"/>
              <w:jc w:val="center"/>
            </w:pPr>
            <w:r>
              <w:rPr>
                <w:rFonts w:hint="eastAsia"/>
              </w:rPr>
              <w:t>化学需氧量</w:t>
            </w:r>
          </w:p>
        </w:tc>
        <w:tc>
          <w:tcPr>
            <w:tcW w:w="993" w:type="dxa"/>
            <w:vAlign w:val="center"/>
          </w:tcPr>
          <w:p>
            <w:pPr>
              <w:spacing w:line="240" w:lineRule="atLeast"/>
              <w:jc w:val="center"/>
            </w:pPr>
            <w:r>
              <w:rPr>
                <w:rFonts w:hint="eastAsia"/>
              </w:rPr>
              <w:t>4~</w:t>
            </w:r>
            <w:r>
              <w:t>700</w:t>
            </w:r>
          </w:p>
        </w:tc>
        <w:tc>
          <w:tcPr>
            <w:tcW w:w="992" w:type="dxa"/>
            <w:vAlign w:val="center"/>
          </w:tcPr>
          <w:p>
            <w:pPr>
              <w:spacing w:line="240" w:lineRule="atLeast"/>
              <w:jc w:val="center"/>
            </w:pPr>
            <w:r>
              <w:rPr>
                <w:rFonts w:hint="eastAsia"/>
              </w:rPr>
              <w:t>≤±1</w:t>
            </w:r>
            <w:r>
              <w:t>0</w:t>
            </w:r>
          </w:p>
        </w:tc>
        <w:tc>
          <w:tcPr>
            <w:tcW w:w="992" w:type="dxa"/>
            <w:vAlign w:val="center"/>
          </w:tcPr>
          <w:p>
            <w:pPr>
              <w:spacing w:line="240" w:lineRule="atLeast"/>
              <w:jc w:val="center"/>
            </w:pPr>
            <w:r>
              <w:rPr>
                <w:rFonts w:hint="eastAsia"/>
              </w:rPr>
              <w:t>/</w:t>
            </w:r>
          </w:p>
        </w:tc>
        <w:tc>
          <w:tcPr>
            <w:tcW w:w="992" w:type="dxa"/>
            <w:vAlign w:val="center"/>
          </w:tcPr>
          <w:p>
            <w:pPr>
              <w:spacing w:line="240" w:lineRule="atLeast"/>
              <w:jc w:val="center"/>
            </w:pPr>
            <w:r>
              <w:rPr>
                <w:rFonts w:hint="eastAsia"/>
              </w:rPr>
              <w:t>/</w:t>
            </w:r>
          </w:p>
        </w:tc>
        <w:tc>
          <w:tcPr>
            <w:tcW w:w="851" w:type="dxa"/>
            <w:vAlign w:val="center"/>
          </w:tcPr>
          <w:p>
            <w:pPr>
              <w:spacing w:line="240" w:lineRule="atLeast"/>
              <w:jc w:val="center"/>
            </w:pPr>
            <w:r>
              <w:rPr>
                <w:rFonts w:hint="eastAsia"/>
              </w:rPr>
              <w:t>/</w:t>
            </w:r>
          </w:p>
        </w:tc>
        <w:tc>
          <w:tcPr>
            <w:tcW w:w="850" w:type="dxa"/>
            <w:vAlign w:val="center"/>
          </w:tcPr>
          <w:p>
            <w:pPr>
              <w:spacing w:line="240" w:lineRule="atLeast"/>
              <w:jc w:val="center"/>
            </w:pPr>
            <w:r>
              <w:rPr>
                <w:rFonts w:hint="eastAsia"/>
              </w:rPr>
              <w:t>/</w:t>
            </w:r>
          </w:p>
        </w:tc>
        <w:tc>
          <w:tcPr>
            <w:tcW w:w="2127" w:type="dxa"/>
            <w:vAlign w:val="center"/>
          </w:tcPr>
          <w:p>
            <w:pPr>
              <w:spacing w:line="240" w:lineRule="atLeast"/>
              <w:jc w:val="center"/>
            </w:pPr>
            <w:r>
              <w:rPr>
                <w:rFonts w:hint="eastAsia"/>
              </w:rPr>
              <w:t>4</w:t>
            </w:r>
          </w:p>
        </w:tc>
        <w:tc>
          <w:tcPr>
            <w:tcW w:w="2693" w:type="dxa"/>
            <w:vAlign w:val="center"/>
          </w:tcPr>
          <w:p>
            <w:pPr>
              <w:spacing w:line="240" w:lineRule="atLeast"/>
              <w:jc w:val="center"/>
            </w:pPr>
            <w:r>
              <w:rPr>
                <w:rFonts w:hint="eastAsia"/>
              </w:rPr>
              <w:t>＜</w:t>
            </w:r>
            <w:r>
              <w:t>100</w:t>
            </w:r>
            <w:r>
              <w:rPr>
                <w:rFonts w:hint="eastAsia"/>
              </w:rPr>
              <w:t>mg/</w:t>
            </w:r>
            <w:r>
              <w:t>L,</w:t>
            </w:r>
            <w:r>
              <w:rPr>
                <w:rFonts w:hint="eastAsia"/>
              </w:rPr>
              <w:t>保留整数；</w:t>
            </w:r>
          </w:p>
          <w:p>
            <w:pPr>
              <w:spacing w:line="240" w:lineRule="atLeast"/>
              <w:jc w:val="center"/>
            </w:pPr>
            <w:r>
              <w:rPr>
                <w:rFonts w:hint="eastAsia"/>
              </w:rPr>
              <w:t>≥</w:t>
            </w:r>
            <w:r>
              <w:t>100</w:t>
            </w:r>
            <w:r>
              <w:rPr>
                <w:rFonts w:hint="eastAsia"/>
              </w:rPr>
              <w:t>mg/</w:t>
            </w:r>
            <w:r>
              <w:t>L</w:t>
            </w:r>
            <w:r>
              <w:rPr>
                <w:rFonts w:hint="eastAsia"/>
              </w:rPr>
              <w:t>，</w:t>
            </w:r>
            <w:r>
              <w:t>3</w:t>
            </w:r>
            <w:r>
              <w:rPr>
                <w:rFonts w:hint="eastAsia"/>
              </w:rPr>
              <w:t>位有效数字</w:t>
            </w:r>
          </w:p>
        </w:tc>
        <w:tc>
          <w:tcPr>
            <w:tcW w:w="2442" w:type="dxa"/>
            <w:vAlign w:val="center"/>
          </w:tcPr>
          <w:p>
            <w:pPr>
              <w:spacing w:line="240" w:lineRule="atLeast"/>
              <w:jc w:val="center"/>
            </w:pPr>
            <w:r>
              <w:rPr>
                <w:rFonts w:hint="eastAsia"/>
              </w:rPr>
              <w:t>H</w:t>
            </w:r>
            <w:r>
              <w:t>J828</w:t>
            </w:r>
            <w:r>
              <w:rPr>
                <w:rFonts w:hint="eastAsia"/>
              </w:rPr>
              <w:t>-</w:t>
            </w:r>
            <w: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993" w:type="dxa"/>
            <w:vAlign w:val="center"/>
          </w:tcPr>
          <w:p>
            <w:pPr>
              <w:spacing w:line="240" w:lineRule="atLeast"/>
              <w:jc w:val="center"/>
            </w:pPr>
            <w:r>
              <w:rPr>
                <w:rFonts w:hint="eastAsia"/>
              </w:rPr>
              <w:t>5~</w:t>
            </w:r>
            <w:r>
              <w:t>50</w:t>
            </w:r>
          </w:p>
        </w:tc>
        <w:tc>
          <w:tcPr>
            <w:tcW w:w="992" w:type="dxa"/>
            <w:vAlign w:val="center"/>
          </w:tcPr>
          <w:p>
            <w:pPr>
              <w:spacing w:line="240" w:lineRule="atLeast"/>
              <w:jc w:val="center"/>
            </w:pPr>
            <w:r>
              <w:rPr>
                <w:rFonts w:hint="eastAsia"/>
              </w:rPr>
              <w:t>≤2</w:t>
            </w:r>
            <w:r>
              <w:t>0</w:t>
            </w:r>
          </w:p>
        </w:tc>
        <w:tc>
          <w:tcPr>
            <w:tcW w:w="992" w:type="dxa"/>
            <w:vAlign w:val="center"/>
          </w:tcPr>
          <w:p>
            <w:pPr>
              <w:spacing w:line="240" w:lineRule="atLeast"/>
              <w:jc w:val="center"/>
            </w:pPr>
            <w:r>
              <w:rPr>
                <w:rFonts w:hint="eastAsia"/>
              </w:rPr>
              <w:t>≤2</w:t>
            </w:r>
            <w:r>
              <w:t>5</w:t>
            </w:r>
          </w:p>
        </w:tc>
        <w:tc>
          <w:tcPr>
            <w:tcW w:w="992" w:type="dxa"/>
            <w:vAlign w:val="center"/>
          </w:tcPr>
          <w:p>
            <w:pPr>
              <w:spacing w:line="240" w:lineRule="atLeast"/>
              <w:jc w:val="center"/>
            </w:pPr>
            <w:r>
              <w:rPr>
                <w:rFonts w:hint="eastAsia"/>
              </w:rPr>
              <w:t>/</w:t>
            </w:r>
          </w:p>
        </w:tc>
        <w:tc>
          <w:tcPr>
            <w:tcW w:w="851" w:type="dxa"/>
            <w:vAlign w:val="center"/>
          </w:tcPr>
          <w:p>
            <w:pPr>
              <w:spacing w:line="240" w:lineRule="atLeast"/>
              <w:jc w:val="center"/>
            </w:pPr>
            <w:r>
              <w:rPr>
                <w:rFonts w:hint="eastAsia"/>
              </w:rPr>
              <w:t>≤±1</w:t>
            </w:r>
            <w:r>
              <w:t>5</w:t>
            </w:r>
          </w:p>
        </w:tc>
        <w:tc>
          <w:tcPr>
            <w:tcW w:w="850" w:type="dxa"/>
            <w:vAlign w:val="center"/>
          </w:tcPr>
          <w:p>
            <w:pPr>
              <w:spacing w:line="240" w:lineRule="atLeast"/>
              <w:jc w:val="center"/>
            </w:pPr>
            <w:r>
              <w:rPr>
                <w:rFonts w:hint="eastAsia"/>
              </w:rPr>
              <w:t>≤±2</w:t>
            </w:r>
            <w:r>
              <w:t>0</w:t>
            </w:r>
          </w:p>
        </w:tc>
        <w:tc>
          <w:tcPr>
            <w:tcW w:w="2127" w:type="dxa"/>
            <w:vMerge w:val="restart"/>
            <w:vAlign w:val="center"/>
          </w:tcPr>
          <w:p>
            <w:pPr>
              <w:spacing w:line="240" w:lineRule="atLeast"/>
              <w:jc w:val="center"/>
            </w:pPr>
            <w:r>
              <w:rPr>
                <w:rFonts w:hint="eastAsia"/>
              </w:rPr>
              <w:t>/</w:t>
            </w:r>
          </w:p>
        </w:tc>
        <w:tc>
          <w:tcPr>
            <w:tcW w:w="2693" w:type="dxa"/>
            <w:vMerge w:val="restart"/>
            <w:vAlign w:val="center"/>
          </w:tcPr>
          <w:p>
            <w:pPr>
              <w:spacing w:line="240" w:lineRule="atLeast"/>
              <w:jc w:val="center"/>
            </w:pPr>
            <w:r>
              <w:rPr>
                <w:rFonts w:hint="eastAsia"/>
              </w:rPr>
              <w:t>/</w:t>
            </w:r>
          </w:p>
        </w:tc>
        <w:tc>
          <w:tcPr>
            <w:tcW w:w="2442" w:type="dxa"/>
            <w:vMerge w:val="restart"/>
            <w:vAlign w:val="center"/>
          </w:tcPr>
          <w:p>
            <w:pPr>
              <w:spacing w:line="240" w:lineRule="atLeast"/>
              <w:jc w:val="center"/>
            </w:pPr>
            <w:r>
              <w:rPr>
                <w:rFonts w:hint="eastAsia"/>
              </w:rPr>
              <w:t>水和废水第四版（增补版）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993" w:type="dxa"/>
            <w:vAlign w:val="center"/>
          </w:tcPr>
          <w:p>
            <w:pPr>
              <w:spacing w:line="240" w:lineRule="atLeast"/>
              <w:jc w:val="center"/>
            </w:pPr>
            <w:r>
              <w:rPr>
                <w:rFonts w:hint="eastAsia"/>
              </w:rPr>
              <w:t>5</w:t>
            </w:r>
            <w:r>
              <w:t>0</w:t>
            </w:r>
            <w:r>
              <w:rPr>
                <w:rFonts w:hint="eastAsia"/>
              </w:rPr>
              <w:t>~</w:t>
            </w:r>
            <w:r>
              <w:t>100</w:t>
            </w:r>
          </w:p>
        </w:tc>
        <w:tc>
          <w:tcPr>
            <w:tcW w:w="992" w:type="dxa"/>
            <w:vAlign w:val="center"/>
          </w:tcPr>
          <w:p>
            <w:pPr>
              <w:spacing w:line="240" w:lineRule="atLeast"/>
              <w:jc w:val="center"/>
            </w:pPr>
            <w:r>
              <w:rPr>
                <w:rFonts w:hint="eastAsia"/>
              </w:rPr>
              <w:t>≤1</w:t>
            </w:r>
            <w:r>
              <w:t>5</w:t>
            </w:r>
          </w:p>
        </w:tc>
        <w:tc>
          <w:tcPr>
            <w:tcW w:w="992" w:type="dxa"/>
            <w:vAlign w:val="center"/>
          </w:tcPr>
          <w:p>
            <w:pPr>
              <w:spacing w:line="240" w:lineRule="atLeast"/>
              <w:jc w:val="center"/>
            </w:pPr>
            <w:r>
              <w:rPr>
                <w:rFonts w:hint="eastAsia"/>
              </w:rPr>
              <w:t>≤2</w:t>
            </w:r>
            <w:r>
              <w:t>0</w:t>
            </w:r>
          </w:p>
        </w:tc>
        <w:tc>
          <w:tcPr>
            <w:tcW w:w="992" w:type="dxa"/>
            <w:vAlign w:val="center"/>
          </w:tcPr>
          <w:p>
            <w:pPr>
              <w:spacing w:line="240" w:lineRule="atLeast"/>
              <w:jc w:val="center"/>
            </w:pPr>
            <w:r>
              <w:rPr>
                <w:rFonts w:hint="eastAsia"/>
              </w:rPr>
              <w:t>/</w:t>
            </w:r>
          </w:p>
        </w:tc>
        <w:tc>
          <w:tcPr>
            <w:tcW w:w="851" w:type="dxa"/>
            <w:vAlign w:val="center"/>
          </w:tcPr>
          <w:p>
            <w:pPr>
              <w:spacing w:line="240" w:lineRule="atLeast"/>
              <w:jc w:val="center"/>
            </w:pPr>
            <w:r>
              <w:rPr>
                <w:rFonts w:hint="eastAsia"/>
              </w:rPr>
              <w:t>≤±1</w:t>
            </w:r>
            <w:r>
              <w:t>0</w:t>
            </w:r>
          </w:p>
        </w:tc>
        <w:tc>
          <w:tcPr>
            <w:tcW w:w="850" w:type="dxa"/>
            <w:vAlign w:val="center"/>
          </w:tcPr>
          <w:p>
            <w:pPr>
              <w:spacing w:line="240" w:lineRule="atLeast"/>
              <w:jc w:val="center"/>
            </w:pPr>
            <w:r>
              <w:rPr>
                <w:rFonts w:hint="eastAsia"/>
              </w:rPr>
              <w:t>≤±1</w:t>
            </w:r>
            <w:r>
              <w:t>5</w:t>
            </w:r>
          </w:p>
        </w:tc>
        <w:tc>
          <w:tcPr>
            <w:tcW w:w="2127" w:type="dxa"/>
            <w:vMerge w:val="continue"/>
            <w:vAlign w:val="center"/>
          </w:tcPr>
          <w:p>
            <w:pPr>
              <w:spacing w:line="240" w:lineRule="atLeast"/>
              <w:jc w:val="center"/>
            </w:pPr>
          </w:p>
        </w:tc>
        <w:tc>
          <w:tcPr>
            <w:tcW w:w="2693" w:type="dxa"/>
            <w:vMerge w:val="continue"/>
            <w:vAlign w:val="center"/>
          </w:tcPr>
          <w:p>
            <w:pPr>
              <w:spacing w:line="240" w:lineRule="atLeast"/>
              <w:jc w:val="center"/>
            </w:pPr>
          </w:p>
        </w:tc>
        <w:tc>
          <w:tcPr>
            <w:tcW w:w="2442" w:type="dxa"/>
            <w:vMerge w:val="continue"/>
            <w:vAlign w:val="center"/>
          </w:tcPr>
          <w:p>
            <w:pPr>
              <w:spacing w:line="24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993" w:type="dxa"/>
            <w:vAlign w:val="center"/>
          </w:tcPr>
          <w:p>
            <w:pPr>
              <w:spacing w:line="240" w:lineRule="atLeast"/>
              <w:jc w:val="center"/>
            </w:pPr>
            <w:r>
              <w:rPr>
                <w:rFonts w:hint="eastAsia"/>
              </w:rPr>
              <w:t>＞</w:t>
            </w:r>
            <w:r>
              <w:t>100</w:t>
            </w:r>
          </w:p>
        </w:tc>
        <w:tc>
          <w:tcPr>
            <w:tcW w:w="992" w:type="dxa"/>
            <w:vAlign w:val="center"/>
          </w:tcPr>
          <w:p>
            <w:pPr>
              <w:spacing w:line="240" w:lineRule="atLeast"/>
              <w:jc w:val="center"/>
            </w:pPr>
            <w:r>
              <w:rPr>
                <w:rFonts w:hint="eastAsia"/>
              </w:rPr>
              <w:t>≤1</w:t>
            </w:r>
            <w:r>
              <w:t>0</w:t>
            </w:r>
          </w:p>
        </w:tc>
        <w:tc>
          <w:tcPr>
            <w:tcW w:w="992" w:type="dxa"/>
            <w:vAlign w:val="center"/>
          </w:tcPr>
          <w:p>
            <w:pPr>
              <w:spacing w:line="240" w:lineRule="atLeast"/>
              <w:jc w:val="center"/>
            </w:pPr>
            <w:r>
              <w:rPr>
                <w:rFonts w:hint="eastAsia"/>
              </w:rPr>
              <w:t>≤1</w:t>
            </w:r>
            <w:r>
              <w:t>5</w:t>
            </w:r>
          </w:p>
        </w:tc>
        <w:tc>
          <w:tcPr>
            <w:tcW w:w="992" w:type="dxa"/>
            <w:vAlign w:val="center"/>
          </w:tcPr>
          <w:p>
            <w:pPr>
              <w:spacing w:line="240" w:lineRule="atLeast"/>
              <w:jc w:val="center"/>
            </w:pPr>
            <w:r>
              <w:rPr>
                <w:rFonts w:hint="eastAsia"/>
              </w:rPr>
              <w:t>/</w:t>
            </w:r>
          </w:p>
        </w:tc>
        <w:tc>
          <w:tcPr>
            <w:tcW w:w="851" w:type="dxa"/>
            <w:vAlign w:val="center"/>
          </w:tcPr>
          <w:p>
            <w:pPr>
              <w:spacing w:line="240" w:lineRule="atLeast"/>
              <w:jc w:val="center"/>
            </w:pPr>
            <w:r>
              <w:rPr>
                <w:rFonts w:hint="eastAsia"/>
              </w:rPr>
              <w:t>≤±5</w:t>
            </w:r>
          </w:p>
        </w:tc>
        <w:tc>
          <w:tcPr>
            <w:tcW w:w="850" w:type="dxa"/>
            <w:vAlign w:val="center"/>
          </w:tcPr>
          <w:p>
            <w:pPr>
              <w:spacing w:line="240" w:lineRule="atLeast"/>
              <w:jc w:val="center"/>
            </w:pPr>
            <w:r>
              <w:rPr>
                <w:rFonts w:hint="eastAsia"/>
              </w:rPr>
              <w:t>≤±1</w:t>
            </w:r>
            <w:r>
              <w:t>0</w:t>
            </w:r>
          </w:p>
        </w:tc>
        <w:tc>
          <w:tcPr>
            <w:tcW w:w="2127" w:type="dxa"/>
            <w:vMerge w:val="continue"/>
            <w:vAlign w:val="center"/>
          </w:tcPr>
          <w:p>
            <w:pPr>
              <w:spacing w:line="240" w:lineRule="atLeast"/>
              <w:jc w:val="center"/>
            </w:pPr>
          </w:p>
        </w:tc>
        <w:tc>
          <w:tcPr>
            <w:tcW w:w="2693" w:type="dxa"/>
            <w:vMerge w:val="continue"/>
            <w:vAlign w:val="center"/>
          </w:tcPr>
          <w:p>
            <w:pPr>
              <w:spacing w:line="240" w:lineRule="atLeast"/>
              <w:jc w:val="center"/>
            </w:pPr>
          </w:p>
        </w:tc>
        <w:tc>
          <w:tcPr>
            <w:tcW w:w="2442" w:type="dxa"/>
            <w:vMerge w:val="continue"/>
            <w:vAlign w:val="center"/>
          </w:tcPr>
          <w:p>
            <w:pPr>
              <w:spacing w:line="24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restart"/>
            <w:vAlign w:val="center"/>
          </w:tcPr>
          <w:p>
            <w:pPr>
              <w:spacing w:line="240" w:lineRule="atLeast"/>
              <w:jc w:val="center"/>
            </w:pPr>
            <w:r>
              <w:t>3</w:t>
            </w:r>
          </w:p>
        </w:tc>
        <w:tc>
          <w:tcPr>
            <w:tcW w:w="850" w:type="dxa"/>
            <w:vMerge w:val="restart"/>
            <w:vAlign w:val="center"/>
          </w:tcPr>
          <w:p>
            <w:pPr>
              <w:spacing w:line="240" w:lineRule="atLeast"/>
              <w:jc w:val="center"/>
            </w:pPr>
            <w:r>
              <w:rPr>
                <w:rFonts w:hint="eastAsia"/>
              </w:rPr>
              <w:t>总磷</w:t>
            </w:r>
          </w:p>
        </w:tc>
        <w:tc>
          <w:tcPr>
            <w:tcW w:w="993" w:type="dxa"/>
            <w:vAlign w:val="center"/>
          </w:tcPr>
          <w:p>
            <w:pPr>
              <w:spacing w:line="240" w:lineRule="atLeast"/>
              <w:jc w:val="center"/>
            </w:pPr>
            <w:r>
              <w:rPr>
                <w:rFonts w:hint="eastAsia"/>
              </w:rPr>
              <w:t>＜</w:t>
            </w:r>
            <w:r>
              <w:t>0.04</w:t>
            </w:r>
          </w:p>
        </w:tc>
        <w:tc>
          <w:tcPr>
            <w:tcW w:w="992" w:type="dxa"/>
            <w:vAlign w:val="center"/>
          </w:tcPr>
          <w:p>
            <w:pPr>
              <w:spacing w:line="240" w:lineRule="atLeast"/>
              <w:jc w:val="center"/>
            </w:pPr>
            <w:r>
              <w:rPr>
                <w:rFonts w:hint="eastAsia"/>
              </w:rPr>
              <w:t>≤2</w:t>
            </w:r>
            <w:r>
              <w:t>5</w:t>
            </w:r>
          </w:p>
        </w:tc>
        <w:tc>
          <w:tcPr>
            <w:tcW w:w="992" w:type="dxa"/>
            <w:vAlign w:val="center"/>
          </w:tcPr>
          <w:p>
            <w:pPr>
              <w:spacing w:line="240" w:lineRule="atLeast"/>
              <w:jc w:val="center"/>
            </w:pPr>
            <w:r>
              <w:rPr>
                <w:rFonts w:hint="eastAsia"/>
              </w:rPr>
              <w:t>≤3</w:t>
            </w:r>
            <w:r>
              <w:t>0</w:t>
            </w:r>
          </w:p>
        </w:tc>
        <w:tc>
          <w:tcPr>
            <w:tcW w:w="992" w:type="dxa"/>
            <w:vAlign w:val="center"/>
          </w:tcPr>
          <w:p>
            <w:pPr>
              <w:spacing w:line="240" w:lineRule="atLeast"/>
              <w:jc w:val="center"/>
            </w:pPr>
            <w:r>
              <w:rPr>
                <w:rFonts w:hint="eastAsia"/>
              </w:rPr>
              <w:t>8</w:t>
            </w:r>
            <w:r>
              <w:t>5~115</w:t>
            </w:r>
          </w:p>
        </w:tc>
        <w:tc>
          <w:tcPr>
            <w:tcW w:w="851" w:type="dxa"/>
            <w:vAlign w:val="center"/>
          </w:tcPr>
          <w:p>
            <w:pPr>
              <w:spacing w:line="240" w:lineRule="atLeast"/>
              <w:jc w:val="center"/>
            </w:pPr>
            <w:r>
              <w:rPr>
                <w:rFonts w:hint="eastAsia"/>
              </w:rPr>
              <w:t>≤±1</w:t>
            </w:r>
            <w:r>
              <w:t>5</w:t>
            </w:r>
          </w:p>
        </w:tc>
        <w:tc>
          <w:tcPr>
            <w:tcW w:w="850" w:type="dxa"/>
            <w:vAlign w:val="center"/>
          </w:tcPr>
          <w:p>
            <w:pPr>
              <w:spacing w:line="240" w:lineRule="atLeast"/>
              <w:jc w:val="center"/>
            </w:pPr>
            <w:r>
              <w:rPr>
                <w:rFonts w:hint="eastAsia"/>
              </w:rPr>
              <w:t>≤±1</w:t>
            </w:r>
            <w:r>
              <w:t>0</w:t>
            </w:r>
          </w:p>
        </w:tc>
        <w:tc>
          <w:tcPr>
            <w:tcW w:w="2127" w:type="dxa"/>
            <w:vMerge w:val="restart"/>
            <w:vAlign w:val="center"/>
          </w:tcPr>
          <w:p>
            <w:pPr>
              <w:spacing w:line="240" w:lineRule="atLeast"/>
              <w:jc w:val="center"/>
            </w:pPr>
            <w:r>
              <w:rPr>
                <w:rFonts w:hint="eastAsia"/>
              </w:rPr>
              <w:t>0</w:t>
            </w:r>
            <w:r>
              <w:t>.01</w:t>
            </w:r>
          </w:p>
        </w:tc>
        <w:tc>
          <w:tcPr>
            <w:tcW w:w="2693" w:type="dxa"/>
            <w:vMerge w:val="restart"/>
            <w:vAlign w:val="center"/>
          </w:tcPr>
          <w:p>
            <w:pPr>
              <w:spacing w:line="240" w:lineRule="atLeast"/>
              <w:jc w:val="center"/>
            </w:pPr>
            <w:r>
              <w:rPr>
                <w:rFonts w:hint="eastAsia"/>
              </w:rPr>
              <w:t>＜</w:t>
            </w:r>
            <w:r>
              <w:t>1.00</w:t>
            </w:r>
            <w:r>
              <w:rPr>
                <w:rFonts w:hint="eastAsia"/>
              </w:rPr>
              <w:t>mg/</w:t>
            </w:r>
            <w:r>
              <w:t>L,</w:t>
            </w:r>
            <w:r>
              <w:rPr>
                <w:rFonts w:hint="eastAsia"/>
              </w:rPr>
              <w:t>小数点后3位；</w:t>
            </w:r>
          </w:p>
          <w:p>
            <w:pPr>
              <w:spacing w:line="240" w:lineRule="atLeast"/>
              <w:jc w:val="center"/>
            </w:pPr>
            <w:r>
              <w:rPr>
                <w:rFonts w:hint="eastAsia"/>
              </w:rPr>
              <w:t>≥</w:t>
            </w:r>
            <w:r>
              <w:t>1</w:t>
            </w:r>
            <w:r>
              <w:rPr>
                <w:rFonts w:hint="eastAsia"/>
              </w:rPr>
              <w:t>.</w:t>
            </w:r>
            <w:r>
              <w:t>00</w:t>
            </w:r>
            <w:r>
              <w:rPr>
                <w:rFonts w:hint="eastAsia"/>
              </w:rPr>
              <w:t>mg/</w:t>
            </w:r>
            <w:r>
              <w:t>L</w:t>
            </w:r>
            <w:r>
              <w:rPr>
                <w:rFonts w:hint="eastAsia"/>
              </w:rPr>
              <w:t>，</w:t>
            </w:r>
            <w:r>
              <w:t>3</w:t>
            </w:r>
            <w:r>
              <w:rPr>
                <w:rFonts w:hint="eastAsia"/>
              </w:rPr>
              <w:t>位有效数字</w:t>
            </w:r>
          </w:p>
        </w:tc>
        <w:tc>
          <w:tcPr>
            <w:tcW w:w="2442" w:type="dxa"/>
            <w:vMerge w:val="restart"/>
            <w:vAlign w:val="center"/>
          </w:tcPr>
          <w:p>
            <w:pPr>
              <w:spacing w:line="240" w:lineRule="atLeast"/>
              <w:jc w:val="center"/>
            </w:pPr>
            <w:r>
              <w:rPr>
                <w:rFonts w:hint="eastAsia"/>
              </w:rPr>
              <w:t>G</w:t>
            </w:r>
            <w:r>
              <w:t>B</w:t>
            </w:r>
            <w:r>
              <w:rPr>
                <w:rFonts w:hint="eastAsia"/>
              </w:rPr>
              <w:t>/</w:t>
            </w:r>
            <w:r>
              <w:t>T11893-1989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993" w:type="dxa"/>
            <w:vAlign w:val="center"/>
          </w:tcPr>
          <w:p>
            <w:pPr>
              <w:spacing w:line="240" w:lineRule="atLeast"/>
              <w:jc w:val="center"/>
            </w:pPr>
            <w:r>
              <w:rPr>
                <w:rFonts w:hint="eastAsia"/>
              </w:rPr>
              <w:t>0</w:t>
            </w:r>
            <w:r>
              <w:t>.04~1.0</w:t>
            </w:r>
          </w:p>
        </w:tc>
        <w:tc>
          <w:tcPr>
            <w:tcW w:w="992" w:type="dxa"/>
            <w:vAlign w:val="center"/>
          </w:tcPr>
          <w:p>
            <w:pPr>
              <w:spacing w:line="240" w:lineRule="atLeast"/>
              <w:jc w:val="center"/>
            </w:pPr>
            <w:r>
              <w:rPr>
                <w:rFonts w:hint="eastAsia"/>
              </w:rPr>
              <w:t>≤1</w:t>
            </w:r>
            <w:r>
              <w:t>0</w:t>
            </w:r>
          </w:p>
        </w:tc>
        <w:tc>
          <w:tcPr>
            <w:tcW w:w="992" w:type="dxa"/>
            <w:vAlign w:val="center"/>
          </w:tcPr>
          <w:p>
            <w:pPr>
              <w:spacing w:line="240" w:lineRule="atLeast"/>
              <w:jc w:val="center"/>
            </w:pPr>
            <w:r>
              <w:rPr>
                <w:rFonts w:hint="eastAsia"/>
              </w:rPr>
              <w:t>≤1</w:t>
            </w:r>
            <w:r>
              <w:t>5</w:t>
            </w:r>
          </w:p>
        </w:tc>
        <w:tc>
          <w:tcPr>
            <w:tcW w:w="992" w:type="dxa"/>
            <w:vAlign w:val="center"/>
          </w:tcPr>
          <w:p>
            <w:pPr>
              <w:spacing w:line="240" w:lineRule="atLeast"/>
              <w:jc w:val="center"/>
            </w:pPr>
            <w:r>
              <w:rPr>
                <w:rFonts w:hint="eastAsia"/>
              </w:rPr>
              <w:t>9</w:t>
            </w:r>
            <w:r>
              <w:t>0</w:t>
            </w:r>
            <w:r>
              <w:rPr>
                <w:rFonts w:hint="eastAsia"/>
              </w:rPr>
              <w:t>~</w:t>
            </w:r>
            <w:r>
              <w:t>110</w:t>
            </w:r>
          </w:p>
        </w:tc>
        <w:tc>
          <w:tcPr>
            <w:tcW w:w="851" w:type="dxa"/>
            <w:vAlign w:val="center"/>
          </w:tcPr>
          <w:p>
            <w:pPr>
              <w:spacing w:line="240" w:lineRule="atLeast"/>
              <w:jc w:val="center"/>
            </w:pPr>
            <w:r>
              <w:rPr>
                <w:rFonts w:hint="eastAsia"/>
              </w:rPr>
              <w:t>≤±1</w:t>
            </w:r>
            <w:r>
              <w:t>0</w:t>
            </w:r>
          </w:p>
        </w:tc>
        <w:tc>
          <w:tcPr>
            <w:tcW w:w="850" w:type="dxa"/>
            <w:vAlign w:val="center"/>
          </w:tcPr>
          <w:p>
            <w:pPr>
              <w:spacing w:line="240" w:lineRule="atLeast"/>
              <w:jc w:val="center"/>
            </w:pPr>
            <w:r>
              <w:rPr>
                <w:rFonts w:hint="eastAsia"/>
              </w:rPr>
              <w:t>≤±1</w:t>
            </w:r>
            <w:r>
              <w:t>5</w:t>
            </w:r>
          </w:p>
        </w:tc>
        <w:tc>
          <w:tcPr>
            <w:tcW w:w="2127" w:type="dxa"/>
            <w:vMerge w:val="continue"/>
            <w:vAlign w:val="center"/>
          </w:tcPr>
          <w:p>
            <w:pPr>
              <w:spacing w:line="240" w:lineRule="atLeast"/>
              <w:jc w:val="center"/>
            </w:pPr>
          </w:p>
        </w:tc>
        <w:tc>
          <w:tcPr>
            <w:tcW w:w="2693" w:type="dxa"/>
            <w:vMerge w:val="continue"/>
            <w:vAlign w:val="center"/>
          </w:tcPr>
          <w:p>
            <w:pPr>
              <w:spacing w:line="240" w:lineRule="atLeast"/>
              <w:jc w:val="center"/>
            </w:pPr>
          </w:p>
        </w:tc>
        <w:tc>
          <w:tcPr>
            <w:tcW w:w="2442" w:type="dxa"/>
            <w:vMerge w:val="continue"/>
            <w:vAlign w:val="center"/>
          </w:tcPr>
          <w:p>
            <w:pPr>
              <w:spacing w:line="24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993" w:type="dxa"/>
            <w:vAlign w:val="center"/>
          </w:tcPr>
          <w:p>
            <w:pPr>
              <w:spacing w:line="240" w:lineRule="atLeast"/>
              <w:jc w:val="center"/>
            </w:pPr>
            <w:r>
              <w:rPr>
                <w:rFonts w:hint="eastAsia"/>
              </w:rPr>
              <w:t>＞</w:t>
            </w:r>
            <w:r>
              <w:t>1.0</w:t>
            </w:r>
          </w:p>
        </w:tc>
        <w:tc>
          <w:tcPr>
            <w:tcW w:w="992" w:type="dxa"/>
            <w:vAlign w:val="center"/>
          </w:tcPr>
          <w:p>
            <w:pPr>
              <w:spacing w:line="240" w:lineRule="atLeast"/>
              <w:jc w:val="center"/>
            </w:pPr>
            <w:r>
              <w:rPr>
                <w:rFonts w:hint="eastAsia"/>
              </w:rPr>
              <w:t>≤5</w:t>
            </w:r>
          </w:p>
        </w:tc>
        <w:tc>
          <w:tcPr>
            <w:tcW w:w="992" w:type="dxa"/>
            <w:vAlign w:val="center"/>
          </w:tcPr>
          <w:p>
            <w:pPr>
              <w:spacing w:line="240" w:lineRule="atLeast"/>
              <w:jc w:val="center"/>
            </w:pPr>
            <w:r>
              <w:rPr>
                <w:rFonts w:hint="eastAsia"/>
              </w:rPr>
              <w:t>≤1</w:t>
            </w:r>
            <w:r>
              <w:t>0</w:t>
            </w:r>
          </w:p>
        </w:tc>
        <w:tc>
          <w:tcPr>
            <w:tcW w:w="992" w:type="dxa"/>
            <w:vAlign w:val="center"/>
          </w:tcPr>
          <w:p>
            <w:pPr>
              <w:spacing w:line="240" w:lineRule="atLeast"/>
              <w:jc w:val="center"/>
            </w:pPr>
            <w:r>
              <w:rPr>
                <w:rFonts w:hint="eastAsia"/>
              </w:rPr>
              <w:t>9</w:t>
            </w:r>
            <w:r>
              <w:t>0</w:t>
            </w:r>
            <w:r>
              <w:rPr>
                <w:rFonts w:hint="eastAsia"/>
              </w:rPr>
              <w:t>~</w:t>
            </w:r>
            <w:r>
              <w:t>110</w:t>
            </w:r>
          </w:p>
        </w:tc>
        <w:tc>
          <w:tcPr>
            <w:tcW w:w="851" w:type="dxa"/>
            <w:vAlign w:val="center"/>
          </w:tcPr>
          <w:p>
            <w:pPr>
              <w:spacing w:line="240" w:lineRule="atLeast"/>
              <w:jc w:val="center"/>
            </w:pPr>
            <w:r>
              <w:rPr>
                <w:rFonts w:hint="eastAsia"/>
              </w:rPr>
              <w:t>≤±1</w:t>
            </w:r>
            <w:r>
              <w:t>0</w:t>
            </w:r>
          </w:p>
        </w:tc>
        <w:tc>
          <w:tcPr>
            <w:tcW w:w="850" w:type="dxa"/>
            <w:vAlign w:val="center"/>
          </w:tcPr>
          <w:p>
            <w:pPr>
              <w:spacing w:line="240" w:lineRule="atLeast"/>
              <w:jc w:val="center"/>
            </w:pPr>
            <w:r>
              <w:rPr>
                <w:rFonts w:hint="eastAsia"/>
              </w:rPr>
              <w:t>≤±1</w:t>
            </w:r>
            <w:r>
              <w:t>0</w:t>
            </w:r>
          </w:p>
        </w:tc>
        <w:tc>
          <w:tcPr>
            <w:tcW w:w="2127" w:type="dxa"/>
            <w:vMerge w:val="continue"/>
            <w:vAlign w:val="center"/>
          </w:tcPr>
          <w:p>
            <w:pPr>
              <w:spacing w:line="240" w:lineRule="atLeast"/>
              <w:jc w:val="center"/>
            </w:pPr>
          </w:p>
        </w:tc>
        <w:tc>
          <w:tcPr>
            <w:tcW w:w="2693" w:type="dxa"/>
            <w:vMerge w:val="continue"/>
            <w:vAlign w:val="center"/>
          </w:tcPr>
          <w:p>
            <w:pPr>
              <w:spacing w:line="240" w:lineRule="atLeast"/>
              <w:jc w:val="center"/>
            </w:pPr>
          </w:p>
        </w:tc>
        <w:tc>
          <w:tcPr>
            <w:tcW w:w="2442" w:type="dxa"/>
            <w:vMerge w:val="continue"/>
            <w:vAlign w:val="center"/>
          </w:tcPr>
          <w:p>
            <w:pPr>
              <w:spacing w:line="24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993" w:type="dxa"/>
            <w:vAlign w:val="center"/>
          </w:tcPr>
          <w:p>
            <w:pPr>
              <w:spacing w:line="240" w:lineRule="atLeast"/>
              <w:jc w:val="center"/>
            </w:pPr>
            <w:r>
              <w:rPr>
                <w:rFonts w:hint="eastAsia"/>
              </w:rPr>
              <w:t>≤0</w:t>
            </w:r>
            <w:r>
              <w:t>.04</w:t>
            </w:r>
          </w:p>
        </w:tc>
        <w:tc>
          <w:tcPr>
            <w:tcW w:w="992" w:type="dxa"/>
            <w:vAlign w:val="center"/>
          </w:tcPr>
          <w:p>
            <w:pPr>
              <w:spacing w:line="240" w:lineRule="atLeast"/>
              <w:jc w:val="center"/>
            </w:pPr>
            <w:r>
              <w:rPr>
                <w:rFonts w:hint="eastAsia"/>
              </w:rPr>
              <w:t>≤2</w:t>
            </w:r>
            <w:r>
              <w:t>5</w:t>
            </w:r>
          </w:p>
        </w:tc>
        <w:tc>
          <w:tcPr>
            <w:tcW w:w="992" w:type="dxa"/>
            <w:vAlign w:val="center"/>
          </w:tcPr>
          <w:p>
            <w:pPr>
              <w:spacing w:line="240" w:lineRule="atLeast"/>
              <w:jc w:val="center"/>
            </w:pPr>
            <w:r>
              <w:rPr>
                <w:rFonts w:hint="eastAsia"/>
              </w:rPr>
              <w:t>≤3</w:t>
            </w:r>
            <w:r>
              <w:t>0</w:t>
            </w:r>
          </w:p>
        </w:tc>
        <w:tc>
          <w:tcPr>
            <w:tcW w:w="992" w:type="dxa"/>
            <w:vAlign w:val="center"/>
          </w:tcPr>
          <w:p>
            <w:pPr>
              <w:spacing w:line="240" w:lineRule="atLeast"/>
              <w:jc w:val="center"/>
            </w:pPr>
            <w:r>
              <w:rPr>
                <w:rFonts w:hint="eastAsia"/>
              </w:rPr>
              <w:t>8</w:t>
            </w:r>
            <w:r>
              <w:t>0</w:t>
            </w:r>
            <w:r>
              <w:rPr>
                <w:rFonts w:hint="eastAsia"/>
              </w:rPr>
              <w:t>~</w:t>
            </w:r>
            <w:r>
              <w:t>120</w:t>
            </w:r>
          </w:p>
        </w:tc>
        <w:tc>
          <w:tcPr>
            <w:tcW w:w="851" w:type="dxa"/>
            <w:vAlign w:val="center"/>
          </w:tcPr>
          <w:p>
            <w:pPr>
              <w:spacing w:line="240" w:lineRule="atLeast"/>
              <w:jc w:val="center"/>
            </w:pPr>
            <w:r>
              <w:rPr>
                <w:rFonts w:hint="eastAsia"/>
              </w:rPr>
              <w:t>/</w:t>
            </w:r>
          </w:p>
        </w:tc>
        <w:tc>
          <w:tcPr>
            <w:tcW w:w="850" w:type="dxa"/>
            <w:vAlign w:val="center"/>
          </w:tcPr>
          <w:p>
            <w:pPr>
              <w:spacing w:line="240" w:lineRule="atLeast"/>
              <w:jc w:val="center"/>
            </w:pPr>
            <w:r>
              <w:rPr>
                <w:rFonts w:hint="eastAsia"/>
              </w:rPr>
              <w:t>/</w:t>
            </w:r>
          </w:p>
        </w:tc>
        <w:tc>
          <w:tcPr>
            <w:tcW w:w="2127" w:type="dxa"/>
            <w:vMerge w:val="continue"/>
            <w:vAlign w:val="center"/>
          </w:tcPr>
          <w:p>
            <w:pPr>
              <w:spacing w:line="240" w:lineRule="atLeast"/>
              <w:jc w:val="center"/>
            </w:pPr>
          </w:p>
        </w:tc>
        <w:tc>
          <w:tcPr>
            <w:tcW w:w="2693" w:type="dxa"/>
            <w:vMerge w:val="restart"/>
            <w:vAlign w:val="center"/>
          </w:tcPr>
          <w:p>
            <w:pPr>
              <w:spacing w:line="240" w:lineRule="atLeast"/>
              <w:jc w:val="center"/>
            </w:pPr>
            <w:r>
              <w:rPr>
                <w:rFonts w:hint="eastAsia"/>
              </w:rPr>
              <w:t>＜</w:t>
            </w:r>
            <w:r>
              <w:t>1.00</w:t>
            </w:r>
            <w:r>
              <w:rPr>
                <w:rFonts w:hint="eastAsia"/>
              </w:rPr>
              <w:t>mg/</w:t>
            </w:r>
            <w:r>
              <w:t>L,</w:t>
            </w:r>
            <w:r>
              <w:rPr>
                <w:rFonts w:hint="eastAsia"/>
              </w:rPr>
              <w:t>小数点后</w:t>
            </w:r>
            <w:r>
              <w:t>2</w:t>
            </w:r>
            <w:r>
              <w:rPr>
                <w:rFonts w:hint="eastAsia"/>
              </w:rPr>
              <w:t>位；</w:t>
            </w:r>
          </w:p>
          <w:p>
            <w:pPr>
              <w:spacing w:line="240" w:lineRule="atLeast"/>
              <w:jc w:val="center"/>
            </w:pPr>
            <w:r>
              <w:rPr>
                <w:rFonts w:hint="eastAsia"/>
              </w:rPr>
              <w:t>≥</w:t>
            </w:r>
            <w:r>
              <w:t>1</w:t>
            </w:r>
            <w:r>
              <w:rPr>
                <w:rFonts w:hint="eastAsia"/>
              </w:rPr>
              <w:t>.</w:t>
            </w:r>
            <w:r>
              <w:t>00</w:t>
            </w:r>
            <w:r>
              <w:rPr>
                <w:rFonts w:hint="eastAsia"/>
              </w:rPr>
              <w:t>mg/</w:t>
            </w:r>
            <w:r>
              <w:t>L</w:t>
            </w:r>
            <w:r>
              <w:rPr>
                <w:rFonts w:hint="eastAsia"/>
              </w:rPr>
              <w:t>，</w:t>
            </w:r>
            <w:r>
              <w:t>3</w:t>
            </w:r>
            <w:r>
              <w:rPr>
                <w:rFonts w:hint="eastAsia"/>
              </w:rPr>
              <w:t>位有效数字</w:t>
            </w:r>
          </w:p>
        </w:tc>
        <w:tc>
          <w:tcPr>
            <w:tcW w:w="2442" w:type="dxa"/>
            <w:vMerge w:val="restart"/>
            <w:vAlign w:val="center"/>
          </w:tcPr>
          <w:p>
            <w:pPr>
              <w:spacing w:line="240" w:lineRule="atLeast"/>
              <w:jc w:val="center"/>
            </w:pPr>
            <w:r>
              <w:rPr>
                <w:rFonts w:hint="eastAsia"/>
              </w:rPr>
              <w:t>H</w:t>
            </w:r>
            <w:r>
              <w:t>J670-2013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993" w:type="dxa"/>
            <w:vAlign w:val="center"/>
          </w:tcPr>
          <w:p>
            <w:pPr>
              <w:spacing w:line="240" w:lineRule="atLeast"/>
              <w:jc w:val="center"/>
            </w:pPr>
            <w:r>
              <w:rPr>
                <w:rFonts w:hint="eastAsia"/>
              </w:rPr>
              <w:t>＞</w:t>
            </w:r>
            <w:r>
              <w:t>0.04</w:t>
            </w:r>
          </w:p>
        </w:tc>
        <w:tc>
          <w:tcPr>
            <w:tcW w:w="992" w:type="dxa"/>
            <w:vAlign w:val="center"/>
          </w:tcPr>
          <w:p>
            <w:pPr>
              <w:spacing w:line="240" w:lineRule="atLeast"/>
              <w:jc w:val="center"/>
            </w:pPr>
            <w:r>
              <w:rPr>
                <w:rFonts w:hint="eastAsia"/>
              </w:rPr>
              <w:t>≤1</w:t>
            </w:r>
            <w:r>
              <w:t>0</w:t>
            </w:r>
          </w:p>
        </w:tc>
        <w:tc>
          <w:tcPr>
            <w:tcW w:w="992" w:type="dxa"/>
            <w:vAlign w:val="center"/>
          </w:tcPr>
          <w:p>
            <w:pPr>
              <w:spacing w:line="240" w:lineRule="atLeast"/>
              <w:jc w:val="center"/>
            </w:pPr>
            <w:r>
              <w:rPr>
                <w:rFonts w:hint="eastAsia"/>
              </w:rPr>
              <w:t>≤1</w:t>
            </w:r>
            <w:r>
              <w:t>5</w:t>
            </w:r>
          </w:p>
        </w:tc>
        <w:tc>
          <w:tcPr>
            <w:tcW w:w="992" w:type="dxa"/>
            <w:vAlign w:val="center"/>
          </w:tcPr>
          <w:p>
            <w:pPr>
              <w:spacing w:line="240" w:lineRule="atLeast"/>
              <w:jc w:val="center"/>
            </w:pPr>
            <w:r>
              <w:rPr>
                <w:rFonts w:hint="eastAsia"/>
              </w:rPr>
              <w:t>8</w:t>
            </w:r>
            <w:r>
              <w:t>0</w:t>
            </w:r>
            <w:r>
              <w:rPr>
                <w:rFonts w:hint="eastAsia"/>
              </w:rPr>
              <w:t>~</w:t>
            </w:r>
            <w:r>
              <w:t>120</w:t>
            </w:r>
          </w:p>
        </w:tc>
        <w:tc>
          <w:tcPr>
            <w:tcW w:w="851" w:type="dxa"/>
            <w:vAlign w:val="center"/>
          </w:tcPr>
          <w:p>
            <w:pPr>
              <w:spacing w:line="240" w:lineRule="atLeast"/>
              <w:jc w:val="center"/>
            </w:pPr>
            <w:r>
              <w:rPr>
                <w:rFonts w:hint="eastAsia"/>
              </w:rPr>
              <w:t>/</w:t>
            </w:r>
          </w:p>
        </w:tc>
        <w:tc>
          <w:tcPr>
            <w:tcW w:w="850" w:type="dxa"/>
            <w:vAlign w:val="center"/>
          </w:tcPr>
          <w:p>
            <w:pPr>
              <w:spacing w:line="240" w:lineRule="atLeast"/>
              <w:jc w:val="center"/>
            </w:pPr>
            <w:r>
              <w:rPr>
                <w:rFonts w:hint="eastAsia"/>
              </w:rPr>
              <w:t>/</w:t>
            </w:r>
          </w:p>
        </w:tc>
        <w:tc>
          <w:tcPr>
            <w:tcW w:w="2127" w:type="dxa"/>
            <w:vMerge w:val="continue"/>
            <w:vAlign w:val="center"/>
          </w:tcPr>
          <w:p>
            <w:pPr>
              <w:spacing w:line="240" w:lineRule="atLeast"/>
              <w:jc w:val="center"/>
            </w:pPr>
          </w:p>
        </w:tc>
        <w:tc>
          <w:tcPr>
            <w:tcW w:w="2693" w:type="dxa"/>
            <w:vMerge w:val="continue"/>
            <w:vAlign w:val="center"/>
          </w:tcPr>
          <w:p>
            <w:pPr>
              <w:spacing w:line="240" w:lineRule="atLeast"/>
              <w:jc w:val="center"/>
            </w:pPr>
          </w:p>
        </w:tc>
        <w:tc>
          <w:tcPr>
            <w:tcW w:w="2442" w:type="dxa"/>
            <w:vMerge w:val="continue"/>
            <w:vAlign w:val="center"/>
          </w:tcPr>
          <w:p>
            <w:pPr>
              <w:spacing w:line="24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restart"/>
            <w:vAlign w:val="center"/>
          </w:tcPr>
          <w:p>
            <w:pPr>
              <w:spacing w:line="240" w:lineRule="atLeast"/>
              <w:jc w:val="center"/>
            </w:pPr>
            <w:r>
              <w:t>4</w:t>
            </w:r>
          </w:p>
        </w:tc>
        <w:tc>
          <w:tcPr>
            <w:tcW w:w="850" w:type="dxa"/>
            <w:vMerge w:val="restart"/>
            <w:vAlign w:val="center"/>
          </w:tcPr>
          <w:p>
            <w:pPr>
              <w:spacing w:line="240" w:lineRule="atLeast"/>
              <w:jc w:val="center"/>
            </w:pPr>
            <w:r>
              <w:rPr>
                <w:rFonts w:hint="eastAsia"/>
              </w:rPr>
              <w:t>氨氮</w:t>
            </w:r>
          </w:p>
        </w:tc>
        <w:tc>
          <w:tcPr>
            <w:tcW w:w="993" w:type="dxa"/>
            <w:vMerge w:val="restart"/>
            <w:vAlign w:val="center"/>
          </w:tcPr>
          <w:p>
            <w:pPr>
              <w:spacing w:line="240" w:lineRule="atLeast"/>
              <w:jc w:val="center"/>
            </w:pPr>
            <w:r>
              <w:rPr>
                <w:rFonts w:hint="eastAsia"/>
              </w:rPr>
              <w:t>0</w:t>
            </w:r>
            <w:r>
              <w:t>.02</w:t>
            </w:r>
            <w:r>
              <w:rPr>
                <w:rFonts w:hint="eastAsia"/>
              </w:rPr>
              <w:t>~</w:t>
            </w:r>
            <w:r>
              <w:t>0.1</w:t>
            </w:r>
          </w:p>
          <w:p>
            <w:pPr>
              <w:spacing w:line="240" w:lineRule="atLeast"/>
              <w:jc w:val="center"/>
            </w:pPr>
            <w:r>
              <w:rPr>
                <w:rFonts w:hint="eastAsia"/>
              </w:rPr>
              <w:t>0</w:t>
            </w:r>
            <w:r>
              <w:t>.1</w:t>
            </w:r>
            <w:r>
              <w:rPr>
                <w:rFonts w:hint="eastAsia"/>
              </w:rPr>
              <w:t>~</w:t>
            </w:r>
            <w:r>
              <w:t>1.0</w:t>
            </w:r>
          </w:p>
          <w:p>
            <w:pPr>
              <w:spacing w:line="240" w:lineRule="atLeast"/>
              <w:jc w:val="center"/>
            </w:pPr>
            <w:r>
              <w:rPr>
                <w:rFonts w:hint="eastAsia"/>
              </w:rPr>
              <w:t>＞</w:t>
            </w:r>
            <w:r>
              <w:t>1.0</w:t>
            </w:r>
          </w:p>
        </w:tc>
        <w:tc>
          <w:tcPr>
            <w:tcW w:w="992" w:type="dxa"/>
            <w:vMerge w:val="restart"/>
            <w:vAlign w:val="center"/>
          </w:tcPr>
          <w:p>
            <w:pPr>
              <w:spacing w:line="240" w:lineRule="atLeast"/>
              <w:jc w:val="center"/>
            </w:pPr>
            <w:r>
              <w:rPr>
                <w:rFonts w:hint="eastAsia"/>
              </w:rPr>
              <w:t>≤2</w:t>
            </w:r>
            <w:r>
              <w:t>0</w:t>
            </w:r>
          </w:p>
          <w:p>
            <w:pPr>
              <w:spacing w:line="240" w:lineRule="atLeast"/>
              <w:jc w:val="center"/>
            </w:pPr>
            <w:r>
              <w:rPr>
                <w:rFonts w:hint="eastAsia"/>
              </w:rPr>
              <w:t>≤1</w:t>
            </w:r>
            <w:r>
              <w:t>5</w:t>
            </w:r>
          </w:p>
          <w:p>
            <w:pPr>
              <w:spacing w:line="240" w:lineRule="atLeast"/>
              <w:jc w:val="center"/>
            </w:pPr>
            <w:r>
              <w:rPr>
                <w:rFonts w:hint="eastAsia"/>
              </w:rPr>
              <w:t>≤1</w:t>
            </w:r>
            <w:r>
              <w:t>0</w:t>
            </w:r>
          </w:p>
        </w:tc>
        <w:tc>
          <w:tcPr>
            <w:tcW w:w="992" w:type="dxa"/>
            <w:vMerge w:val="restart"/>
            <w:vAlign w:val="center"/>
          </w:tcPr>
          <w:p>
            <w:pPr>
              <w:spacing w:line="240" w:lineRule="atLeast"/>
              <w:jc w:val="center"/>
            </w:pPr>
            <w:r>
              <w:rPr>
                <w:rFonts w:hint="eastAsia"/>
              </w:rPr>
              <w:t>≤2</w:t>
            </w:r>
            <w:r>
              <w:t>5</w:t>
            </w:r>
          </w:p>
          <w:p>
            <w:pPr>
              <w:spacing w:line="240" w:lineRule="atLeast"/>
              <w:jc w:val="center"/>
            </w:pPr>
            <w:r>
              <w:rPr>
                <w:rFonts w:hint="eastAsia"/>
              </w:rPr>
              <w:t>≤2</w:t>
            </w:r>
            <w:r>
              <w:t>0</w:t>
            </w:r>
          </w:p>
          <w:p>
            <w:pPr>
              <w:spacing w:line="240" w:lineRule="atLeast"/>
              <w:jc w:val="center"/>
            </w:pPr>
            <w:r>
              <w:rPr>
                <w:rFonts w:hint="eastAsia"/>
              </w:rPr>
              <w:t>≤1</w:t>
            </w:r>
            <w:r>
              <w:t>5</w:t>
            </w:r>
          </w:p>
        </w:tc>
        <w:tc>
          <w:tcPr>
            <w:tcW w:w="992" w:type="dxa"/>
            <w:vMerge w:val="restart"/>
            <w:vAlign w:val="center"/>
          </w:tcPr>
          <w:p>
            <w:pPr>
              <w:spacing w:line="240" w:lineRule="atLeast"/>
              <w:jc w:val="center"/>
            </w:pPr>
            <w:r>
              <w:rPr>
                <w:rFonts w:hint="eastAsia"/>
              </w:rPr>
              <w:t>9</w:t>
            </w:r>
            <w:r>
              <w:t>0~110</w:t>
            </w:r>
          </w:p>
          <w:p>
            <w:pPr>
              <w:spacing w:line="240" w:lineRule="atLeast"/>
              <w:jc w:val="center"/>
            </w:pPr>
            <w:r>
              <w:rPr>
                <w:rFonts w:hint="eastAsia"/>
              </w:rPr>
              <w:t>9</w:t>
            </w:r>
            <w:r>
              <w:t>0~105</w:t>
            </w:r>
          </w:p>
          <w:p>
            <w:pPr>
              <w:spacing w:line="240" w:lineRule="atLeast"/>
              <w:jc w:val="center"/>
            </w:pPr>
            <w:r>
              <w:rPr>
                <w:rFonts w:hint="eastAsia"/>
              </w:rPr>
              <w:t>9</w:t>
            </w:r>
            <w:r>
              <w:t>0~105</w:t>
            </w:r>
          </w:p>
        </w:tc>
        <w:tc>
          <w:tcPr>
            <w:tcW w:w="851" w:type="dxa"/>
            <w:vMerge w:val="restart"/>
            <w:vAlign w:val="center"/>
          </w:tcPr>
          <w:p>
            <w:pPr>
              <w:spacing w:line="240" w:lineRule="atLeast"/>
              <w:jc w:val="center"/>
            </w:pPr>
            <w:r>
              <w:rPr>
                <w:rFonts w:hint="eastAsia"/>
              </w:rPr>
              <w:t>≤±1</w:t>
            </w:r>
            <w:r>
              <w:t>0</w:t>
            </w:r>
          </w:p>
          <w:p>
            <w:pPr>
              <w:spacing w:line="240" w:lineRule="atLeast"/>
              <w:jc w:val="center"/>
            </w:pPr>
            <w:r>
              <w:rPr>
                <w:rFonts w:hint="eastAsia"/>
              </w:rPr>
              <w:t>≤±5</w:t>
            </w:r>
          </w:p>
          <w:p>
            <w:pPr>
              <w:spacing w:line="240" w:lineRule="atLeast"/>
              <w:jc w:val="center"/>
            </w:pPr>
            <w:r>
              <w:rPr>
                <w:rFonts w:hint="eastAsia"/>
              </w:rPr>
              <w:t>≤±5</w:t>
            </w:r>
          </w:p>
        </w:tc>
        <w:tc>
          <w:tcPr>
            <w:tcW w:w="850" w:type="dxa"/>
            <w:vMerge w:val="restart"/>
            <w:vAlign w:val="center"/>
          </w:tcPr>
          <w:p>
            <w:pPr>
              <w:spacing w:line="240" w:lineRule="atLeast"/>
              <w:jc w:val="center"/>
            </w:pPr>
            <w:r>
              <w:rPr>
                <w:rFonts w:hint="eastAsia"/>
              </w:rPr>
              <w:t>≤±1</w:t>
            </w:r>
            <w:r>
              <w:t>5</w:t>
            </w:r>
          </w:p>
          <w:p>
            <w:pPr>
              <w:spacing w:line="240" w:lineRule="atLeast"/>
              <w:jc w:val="center"/>
            </w:pPr>
            <w:r>
              <w:rPr>
                <w:rFonts w:hint="eastAsia"/>
              </w:rPr>
              <w:t>≤±1</w:t>
            </w:r>
            <w:r>
              <w:t>0</w:t>
            </w:r>
          </w:p>
          <w:p>
            <w:pPr>
              <w:spacing w:line="240" w:lineRule="atLeast"/>
              <w:jc w:val="center"/>
            </w:pPr>
            <w:r>
              <w:rPr>
                <w:rFonts w:hint="eastAsia"/>
              </w:rPr>
              <w:t>≤±1</w:t>
            </w:r>
            <w:r>
              <w:t>0</w:t>
            </w:r>
          </w:p>
        </w:tc>
        <w:tc>
          <w:tcPr>
            <w:tcW w:w="2127" w:type="dxa"/>
            <w:vAlign w:val="center"/>
          </w:tcPr>
          <w:p>
            <w:pPr>
              <w:spacing w:line="240" w:lineRule="atLeast"/>
              <w:jc w:val="center"/>
            </w:pPr>
            <w:r>
              <w:rPr>
                <w:rFonts w:hint="eastAsia"/>
              </w:rPr>
              <w:t>0</w:t>
            </w:r>
            <w:r>
              <w:t>.025</w:t>
            </w:r>
          </w:p>
        </w:tc>
        <w:tc>
          <w:tcPr>
            <w:tcW w:w="2693" w:type="dxa"/>
            <w:vAlign w:val="center"/>
          </w:tcPr>
          <w:p>
            <w:pPr>
              <w:spacing w:line="240" w:lineRule="atLeast"/>
              <w:jc w:val="center"/>
            </w:pPr>
            <w:r>
              <w:rPr>
                <w:rFonts w:hint="eastAsia"/>
              </w:rPr>
              <w:t>有效位数最多3位，</w:t>
            </w:r>
          </w:p>
          <w:p>
            <w:pPr>
              <w:spacing w:line="240" w:lineRule="atLeast"/>
              <w:jc w:val="center"/>
            </w:pPr>
            <w:r>
              <w:rPr>
                <w:rFonts w:hint="eastAsia"/>
              </w:rPr>
              <w:t>小数点后最多</w:t>
            </w:r>
            <w:r>
              <w:t>3</w:t>
            </w:r>
            <w:r>
              <w:rPr>
                <w:rFonts w:hint="eastAsia"/>
              </w:rPr>
              <w:t>位</w:t>
            </w:r>
          </w:p>
        </w:tc>
        <w:tc>
          <w:tcPr>
            <w:tcW w:w="2442" w:type="dxa"/>
            <w:vAlign w:val="center"/>
          </w:tcPr>
          <w:p>
            <w:pPr>
              <w:spacing w:line="240" w:lineRule="atLeast"/>
              <w:jc w:val="center"/>
            </w:pPr>
            <w:r>
              <w:rPr>
                <w:rFonts w:hint="eastAsia"/>
              </w:rPr>
              <w:t>H</w:t>
            </w:r>
            <w:r>
              <w:t>J535-2009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993" w:type="dxa"/>
            <w:vMerge w:val="continue"/>
            <w:vAlign w:val="center"/>
          </w:tcPr>
          <w:p>
            <w:pPr>
              <w:spacing w:line="240" w:lineRule="atLeast"/>
              <w:jc w:val="center"/>
            </w:pPr>
          </w:p>
        </w:tc>
        <w:tc>
          <w:tcPr>
            <w:tcW w:w="992" w:type="dxa"/>
            <w:vMerge w:val="continue"/>
            <w:vAlign w:val="center"/>
          </w:tcPr>
          <w:p>
            <w:pPr>
              <w:spacing w:line="240" w:lineRule="atLeast"/>
              <w:jc w:val="center"/>
            </w:pPr>
          </w:p>
        </w:tc>
        <w:tc>
          <w:tcPr>
            <w:tcW w:w="992" w:type="dxa"/>
            <w:vMerge w:val="continue"/>
            <w:vAlign w:val="center"/>
          </w:tcPr>
          <w:p>
            <w:pPr>
              <w:spacing w:line="240" w:lineRule="atLeast"/>
              <w:jc w:val="center"/>
            </w:pPr>
          </w:p>
        </w:tc>
        <w:tc>
          <w:tcPr>
            <w:tcW w:w="992" w:type="dxa"/>
            <w:vMerge w:val="continue"/>
            <w:vAlign w:val="center"/>
          </w:tcPr>
          <w:p>
            <w:pPr>
              <w:spacing w:line="240" w:lineRule="atLeast"/>
              <w:jc w:val="center"/>
            </w:pPr>
          </w:p>
        </w:tc>
        <w:tc>
          <w:tcPr>
            <w:tcW w:w="851"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2127" w:type="dxa"/>
            <w:vAlign w:val="center"/>
          </w:tcPr>
          <w:p>
            <w:pPr>
              <w:spacing w:line="240" w:lineRule="atLeast"/>
              <w:jc w:val="center"/>
            </w:pPr>
            <w:r>
              <w:rPr>
                <w:rFonts w:hint="eastAsia"/>
              </w:rPr>
              <w:t>0</w:t>
            </w:r>
            <w:r>
              <w:t>.2</w:t>
            </w:r>
          </w:p>
        </w:tc>
        <w:tc>
          <w:tcPr>
            <w:tcW w:w="2693" w:type="dxa"/>
            <w:vAlign w:val="center"/>
          </w:tcPr>
          <w:p>
            <w:pPr>
              <w:spacing w:line="240" w:lineRule="atLeast"/>
              <w:jc w:val="center"/>
            </w:pPr>
            <w:r>
              <w:rPr>
                <w:rFonts w:hint="eastAsia"/>
              </w:rPr>
              <w:t>有效位数最多3位，</w:t>
            </w:r>
          </w:p>
          <w:p>
            <w:pPr>
              <w:spacing w:line="240" w:lineRule="atLeast"/>
              <w:jc w:val="center"/>
            </w:pPr>
            <w:r>
              <w:rPr>
                <w:rFonts w:hint="eastAsia"/>
              </w:rPr>
              <w:t>小数点后最多</w:t>
            </w:r>
            <w:r>
              <w:t>2</w:t>
            </w:r>
            <w:r>
              <w:rPr>
                <w:rFonts w:hint="eastAsia"/>
              </w:rPr>
              <w:t>位</w:t>
            </w:r>
          </w:p>
        </w:tc>
        <w:tc>
          <w:tcPr>
            <w:tcW w:w="2442" w:type="dxa"/>
            <w:vAlign w:val="center"/>
          </w:tcPr>
          <w:p>
            <w:pPr>
              <w:spacing w:line="240" w:lineRule="atLeast"/>
              <w:jc w:val="center"/>
            </w:pPr>
            <w:r>
              <w:t>HJ537-2009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993" w:type="dxa"/>
            <w:vMerge w:val="continue"/>
            <w:vAlign w:val="center"/>
          </w:tcPr>
          <w:p>
            <w:pPr>
              <w:spacing w:line="240" w:lineRule="atLeast"/>
              <w:jc w:val="center"/>
            </w:pPr>
          </w:p>
        </w:tc>
        <w:tc>
          <w:tcPr>
            <w:tcW w:w="992" w:type="dxa"/>
            <w:vMerge w:val="continue"/>
            <w:vAlign w:val="center"/>
          </w:tcPr>
          <w:p>
            <w:pPr>
              <w:spacing w:line="240" w:lineRule="atLeast"/>
              <w:jc w:val="center"/>
            </w:pPr>
          </w:p>
        </w:tc>
        <w:tc>
          <w:tcPr>
            <w:tcW w:w="992" w:type="dxa"/>
            <w:vMerge w:val="continue"/>
            <w:vAlign w:val="center"/>
          </w:tcPr>
          <w:p>
            <w:pPr>
              <w:spacing w:line="240" w:lineRule="atLeast"/>
              <w:jc w:val="center"/>
            </w:pPr>
          </w:p>
        </w:tc>
        <w:tc>
          <w:tcPr>
            <w:tcW w:w="992" w:type="dxa"/>
            <w:vMerge w:val="continue"/>
            <w:vAlign w:val="center"/>
          </w:tcPr>
          <w:p>
            <w:pPr>
              <w:spacing w:line="240" w:lineRule="atLeast"/>
              <w:jc w:val="center"/>
            </w:pPr>
          </w:p>
        </w:tc>
        <w:tc>
          <w:tcPr>
            <w:tcW w:w="851"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2127" w:type="dxa"/>
            <w:vAlign w:val="center"/>
          </w:tcPr>
          <w:p>
            <w:pPr>
              <w:spacing w:line="240" w:lineRule="atLeast"/>
              <w:jc w:val="center"/>
            </w:pPr>
            <w:r>
              <w:rPr>
                <w:rFonts w:hint="eastAsia"/>
              </w:rPr>
              <w:t>0</w:t>
            </w:r>
            <w:r>
              <w:t>.020</w:t>
            </w:r>
          </w:p>
        </w:tc>
        <w:tc>
          <w:tcPr>
            <w:tcW w:w="2693" w:type="dxa"/>
            <w:vAlign w:val="center"/>
          </w:tcPr>
          <w:p>
            <w:pPr>
              <w:spacing w:line="240" w:lineRule="atLeast"/>
              <w:jc w:val="center"/>
            </w:pPr>
            <w:r>
              <w:rPr>
                <w:rFonts w:hint="eastAsia"/>
              </w:rPr>
              <w:t>有效位数最多3位，</w:t>
            </w:r>
          </w:p>
          <w:p>
            <w:pPr>
              <w:spacing w:line="240" w:lineRule="atLeast"/>
              <w:jc w:val="center"/>
            </w:pPr>
            <w:r>
              <w:rPr>
                <w:rFonts w:hint="eastAsia"/>
              </w:rPr>
              <w:t>小数点后最多</w:t>
            </w:r>
            <w:r>
              <w:t>3</w:t>
            </w:r>
            <w:r>
              <w:rPr>
                <w:rFonts w:hint="eastAsia"/>
              </w:rPr>
              <w:t>位</w:t>
            </w:r>
          </w:p>
        </w:tc>
        <w:tc>
          <w:tcPr>
            <w:tcW w:w="2442" w:type="dxa"/>
            <w:vAlign w:val="center"/>
          </w:tcPr>
          <w:p>
            <w:pPr>
              <w:spacing w:line="240" w:lineRule="atLeast"/>
              <w:jc w:val="center"/>
            </w:pPr>
            <w:r>
              <w:rPr>
                <w:rFonts w:hint="eastAsia"/>
              </w:rPr>
              <w:t>H</w:t>
            </w:r>
            <w:r>
              <w:t>J/T195-2005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993" w:type="dxa"/>
            <w:vMerge w:val="continue"/>
            <w:vAlign w:val="center"/>
          </w:tcPr>
          <w:p>
            <w:pPr>
              <w:spacing w:line="240" w:lineRule="atLeast"/>
              <w:jc w:val="center"/>
            </w:pPr>
          </w:p>
        </w:tc>
        <w:tc>
          <w:tcPr>
            <w:tcW w:w="992" w:type="dxa"/>
            <w:vMerge w:val="continue"/>
            <w:vAlign w:val="center"/>
          </w:tcPr>
          <w:p>
            <w:pPr>
              <w:spacing w:line="240" w:lineRule="atLeast"/>
              <w:jc w:val="center"/>
            </w:pPr>
          </w:p>
        </w:tc>
        <w:tc>
          <w:tcPr>
            <w:tcW w:w="992" w:type="dxa"/>
            <w:vMerge w:val="continue"/>
            <w:vAlign w:val="center"/>
          </w:tcPr>
          <w:p>
            <w:pPr>
              <w:spacing w:line="240" w:lineRule="atLeast"/>
              <w:jc w:val="center"/>
            </w:pPr>
          </w:p>
        </w:tc>
        <w:tc>
          <w:tcPr>
            <w:tcW w:w="992" w:type="dxa"/>
            <w:vAlign w:val="center"/>
          </w:tcPr>
          <w:p>
            <w:pPr>
              <w:spacing w:line="240" w:lineRule="atLeast"/>
              <w:jc w:val="center"/>
            </w:pPr>
            <w:r>
              <w:rPr>
                <w:rFonts w:hint="eastAsia"/>
              </w:rPr>
              <w:t>8</w:t>
            </w:r>
            <w:r>
              <w:t>0~120</w:t>
            </w:r>
          </w:p>
        </w:tc>
        <w:tc>
          <w:tcPr>
            <w:tcW w:w="851" w:type="dxa"/>
            <w:vAlign w:val="center"/>
          </w:tcPr>
          <w:p>
            <w:pPr>
              <w:spacing w:line="240" w:lineRule="atLeast"/>
              <w:jc w:val="center"/>
            </w:pPr>
            <w:r>
              <w:rPr>
                <w:rFonts w:hint="eastAsia"/>
              </w:rPr>
              <w:t>/</w:t>
            </w:r>
          </w:p>
        </w:tc>
        <w:tc>
          <w:tcPr>
            <w:tcW w:w="850" w:type="dxa"/>
            <w:vAlign w:val="center"/>
          </w:tcPr>
          <w:p>
            <w:pPr>
              <w:spacing w:line="240" w:lineRule="atLeast"/>
              <w:jc w:val="center"/>
            </w:pPr>
            <w:r>
              <w:rPr>
                <w:rFonts w:hint="eastAsia"/>
              </w:rPr>
              <w:t>/</w:t>
            </w:r>
          </w:p>
        </w:tc>
        <w:tc>
          <w:tcPr>
            <w:tcW w:w="2127" w:type="dxa"/>
            <w:vAlign w:val="center"/>
          </w:tcPr>
          <w:p>
            <w:pPr>
              <w:spacing w:line="240" w:lineRule="atLeast"/>
              <w:jc w:val="center"/>
            </w:pPr>
            <w:r>
              <w:rPr>
                <w:rFonts w:hint="eastAsia"/>
              </w:rPr>
              <w:t>0</w:t>
            </w:r>
            <w:r>
              <w:t>.01</w:t>
            </w:r>
          </w:p>
        </w:tc>
        <w:tc>
          <w:tcPr>
            <w:tcW w:w="2693" w:type="dxa"/>
            <w:vAlign w:val="center"/>
          </w:tcPr>
          <w:p>
            <w:pPr>
              <w:spacing w:line="240" w:lineRule="atLeast"/>
              <w:jc w:val="center"/>
            </w:pPr>
            <w:r>
              <w:rPr>
                <w:rFonts w:hint="eastAsia"/>
              </w:rPr>
              <w:t>＜</w:t>
            </w:r>
            <w:r>
              <w:t>1.00</w:t>
            </w:r>
            <w:r>
              <w:rPr>
                <w:rFonts w:hint="eastAsia"/>
              </w:rPr>
              <w:t>mg/</w:t>
            </w:r>
            <w:r>
              <w:t>L,</w:t>
            </w:r>
            <w:r>
              <w:rPr>
                <w:rFonts w:hint="eastAsia"/>
              </w:rPr>
              <w:t>小数点后</w:t>
            </w:r>
            <w:r>
              <w:t>2</w:t>
            </w:r>
            <w:r>
              <w:rPr>
                <w:rFonts w:hint="eastAsia"/>
              </w:rPr>
              <w:t>位；</w:t>
            </w:r>
          </w:p>
          <w:p>
            <w:pPr>
              <w:spacing w:line="240" w:lineRule="atLeast"/>
              <w:jc w:val="center"/>
            </w:pPr>
            <w:r>
              <w:rPr>
                <w:rFonts w:hint="eastAsia"/>
              </w:rPr>
              <w:t>≥</w:t>
            </w:r>
            <w:r>
              <w:t>1</w:t>
            </w:r>
            <w:r>
              <w:rPr>
                <w:rFonts w:hint="eastAsia"/>
              </w:rPr>
              <w:t>.</w:t>
            </w:r>
            <w:r>
              <w:t>00</w:t>
            </w:r>
            <w:r>
              <w:rPr>
                <w:rFonts w:hint="eastAsia"/>
              </w:rPr>
              <w:t>mg/</w:t>
            </w:r>
            <w:r>
              <w:t>L</w:t>
            </w:r>
            <w:r>
              <w:rPr>
                <w:rFonts w:hint="eastAsia"/>
              </w:rPr>
              <w:t>，</w:t>
            </w:r>
            <w:r>
              <w:t>3</w:t>
            </w:r>
            <w:r>
              <w:rPr>
                <w:rFonts w:hint="eastAsia"/>
              </w:rPr>
              <w:t>位有效数字</w:t>
            </w:r>
          </w:p>
        </w:tc>
        <w:tc>
          <w:tcPr>
            <w:tcW w:w="2442" w:type="dxa"/>
            <w:vAlign w:val="center"/>
          </w:tcPr>
          <w:p>
            <w:pPr>
              <w:spacing w:line="240" w:lineRule="atLeast"/>
              <w:jc w:val="center"/>
            </w:pPr>
            <w:r>
              <w:rPr>
                <w:rFonts w:hint="eastAsia"/>
              </w:rPr>
              <w:t>H</w:t>
            </w:r>
            <w:r>
              <w:t>J665-2013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restart"/>
            <w:vAlign w:val="center"/>
          </w:tcPr>
          <w:p>
            <w:pPr>
              <w:spacing w:line="240" w:lineRule="atLeast"/>
              <w:jc w:val="center"/>
            </w:pPr>
            <w:r>
              <w:t>5</w:t>
            </w:r>
          </w:p>
        </w:tc>
        <w:tc>
          <w:tcPr>
            <w:tcW w:w="850" w:type="dxa"/>
            <w:vMerge w:val="restart"/>
            <w:vAlign w:val="center"/>
          </w:tcPr>
          <w:p>
            <w:pPr>
              <w:spacing w:line="240" w:lineRule="atLeast"/>
              <w:jc w:val="center"/>
            </w:pPr>
            <w:r>
              <w:rPr>
                <w:rFonts w:hint="eastAsia"/>
              </w:rPr>
              <w:t>总氮</w:t>
            </w:r>
          </w:p>
        </w:tc>
        <w:tc>
          <w:tcPr>
            <w:tcW w:w="993" w:type="dxa"/>
            <w:vMerge w:val="restart"/>
            <w:vAlign w:val="center"/>
          </w:tcPr>
          <w:p>
            <w:pPr>
              <w:spacing w:line="240" w:lineRule="atLeast"/>
              <w:jc w:val="center"/>
            </w:pPr>
            <w:r>
              <w:rPr>
                <w:rFonts w:hint="eastAsia"/>
              </w:rPr>
              <w:t>≤1</w:t>
            </w:r>
            <w:r>
              <w:t>.00</w:t>
            </w:r>
          </w:p>
          <w:p>
            <w:pPr>
              <w:spacing w:line="240" w:lineRule="atLeast"/>
              <w:jc w:val="center"/>
            </w:pPr>
            <w:r>
              <w:rPr>
                <w:rFonts w:hint="eastAsia"/>
              </w:rPr>
              <w:t>＞</w:t>
            </w:r>
            <w:r>
              <w:t>1.00</w:t>
            </w:r>
          </w:p>
        </w:tc>
        <w:tc>
          <w:tcPr>
            <w:tcW w:w="992" w:type="dxa"/>
            <w:vMerge w:val="restart"/>
            <w:vAlign w:val="center"/>
          </w:tcPr>
          <w:p>
            <w:pPr>
              <w:spacing w:line="240" w:lineRule="atLeast"/>
              <w:jc w:val="center"/>
            </w:pPr>
            <w:r>
              <w:rPr>
                <w:rFonts w:hint="eastAsia"/>
              </w:rPr>
              <w:t>≤1</w:t>
            </w:r>
            <w:r>
              <w:t>0</w:t>
            </w:r>
          </w:p>
          <w:p>
            <w:pPr>
              <w:spacing w:line="240" w:lineRule="atLeast"/>
              <w:jc w:val="center"/>
            </w:pPr>
            <w:r>
              <w:rPr>
                <w:rFonts w:hint="eastAsia"/>
              </w:rPr>
              <w:t>≤5</w:t>
            </w:r>
          </w:p>
        </w:tc>
        <w:tc>
          <w:tcPr>
            <w:tcW w:w="992" w:type="dxa"/>
            <w:vMerge w:val="restart"/>
            <w:vAlign w:val="center"/>
          </w:tcPr>
          <w:p>
            <w:pPr>
              <w:spacing w:line="240" w:lineRule="atLeast"/>
              <w:jc w:val="center"/>
            </w:pPr>
            <w:r>
              <w:rPr>
                <w:rFonts w:hint="eastAsia"/>
              </w:rPr>
              <w:t>≤1</w:t>
            </w:r>
            <w:r>
              <w:t>5</w:t>
            </w:r>
          </w:p>
          <w:p>
            <w:pPr>
              <w:spacing w:line="240" w:lineRule="atLeast"/>
              <w:jc w:val="center"/>
            </w:pPr>
            <w:r>
              <w:rPr>
                <w:rFonts w:hint="eastAsia"/>
              </w:rPr>
              <w:t>≤1</w:t>
            </w:r>
            <w:r>
              <w:t>0</w:t>
            </w:r>
          </w:p>
        </w:tc>
        <w:tc>
          <w:tcPr>
            <w:tcW w:w="992" w:type="dxa"/>
            <w:vAlign w:val="center"/>
          </w:tcPr>
          <w:p>
            <w:pPr>
              <w:spacing w:line="240" w:lineRule="atLeast"/>
              <w:jc w:val="center"/>
            </w:pPr>
            <w:r>
              <w:rPr>
                <w:rFonts w:hint="eastAsia"/>
              </w:rPr>
              <w:t>9</w:t>
            </w:r>
            <w:r>
              <w:t>0</w:t>
            </w:r>
            <w:r>
              <w:rPr>
                <w:rFonts w:hint="eastAsia"/>
              </w:rPr>
              <w:t>~</w:t>
            </w:r>
            <w:r>
              <w:t>110</w:t>
            </w:r>
          </w:p>
        </w:tc>
        <w:tc>
          <w:tcPr>
            <w:tcW w:w="851" w:type="dxa"/>
            <w:vMerge w:val="restart"/>
            <w:vAlign w:val="center"/>
          </w:tcPr>
          <w:p>
            <w:pPr>
              <w:spacing w:line="240" w:lineRule="atLeast"/>
              <w:jc w:val="center"/>
            </w:pPr>
            <w:r>
              <w:rPr>
                <w:rFonts w:hint="eastAsia"/>
              </w:rPr>
              <w:t>/</w:t>
            </w:r>
          </w:p>
        </w:tc>
        <w:tc>
          <w:tcPr>
            <w:tcW w:w="850" w:type="dxa"/>
            <w:vMerge w:val="restart"/>
            <w:vAlign w:val="center"/>
          </w:tcPr>
          <w:p>
            <w:pPr>
              <w:spacing w:line="240" w:lineRule="atLeast"/>
              <w:jc w:val="center"/>
            </w:pPr>
            <w:r>
              <w:rPr>
                <w:rFonts w:hint="eastAsia"/>
              </w:rPr>
              <w:t>/</w:t>
            </w:r>
          </w:p>
        </w:tc>
        <w:tc>
          <w:tcPr>
            <w:tcW w:w="2127" w:type="dxa"/>
            <w:vAlign w:val="center"/>
          </w:tcPr>
          <w:p>
            <w:pPr>
              <w:spacing w:line="240" w:lineRule="atLeast"/>
              <w:jc w:val="center"/>
            </w:pPr>
            <w:r>
              <w:rPr>
                <w:rFonts w:hint="eastAsia"/>
              </w:rPr>
              <w:t>0</w:t>
            </w:r>
            <w:r>
              <w:t>.05</w:t>
            </w:r>
          </w:p>
        </w:tc>
        <w:tc>
          <w:tcPr>
            <w:tcW w:w="2693" w:type="dxa"/>
            <w:vAlign w:val="center"/>
          </w:tcPr>
          <w:p>
            <w:pPr>
              <w:spacing w:line="240" w:lineRule="atLeast"/>
              <w:jc w:val="center"/>
            </w:pPr>
            <w:r>
              <w:rPr>
                <w:rFonts w:hint="eastAsia"/>
              </w:rPr>
              <w:t>＜</w:t>
            </w:r>
            <w:r>
              <w:t>1.00</w:t>
            </w:r>
            <w:r>
              <w:rPr>
                <w:rFonts w:hint="eastAsia"/>
              </w:rPr>
              <w:t>mg/</w:t>
            </w:r>
            <w:r>
              <w:t>L,</w:t>
            </w:r>
            <w:r>
              <w:rPr>
                <w:rFonts w:hint="eastAsia"/>
              </w:rPr>
              <w:t>小数点后</w:t>
            </w:r>
            <w:r>
              <w:t>2</w:t>
            </w:r>
            <w:r>
              <w:rPr>
                <w:rFonts w:hint="eastAsia"/>
              </w:rPr>
              <w:t>位；</w:t>
            </w:r>
          </w:p>
          <w:p>
            <w:pPr>
              <w:spacing w:line="240" w:lineRule="atLeast"/>
              <w:jc w:val="center"/>
            </w:pPr>
            <w:r>
              <w:rPr>
                <w:rFonts w:hint="eastAsia"/>
              </w:rPr>
              <w:t>≥</w:t>
            </w:r>
            <w:r>
              <w:t>1</w:t>
            </w:r>
            <w:r>
              <w:rPr>
                <w:rFonts w:hint="eastAsia"/>
              </w:rPr>
              <w:t>.</w:t>
            </w:r>
            <w:r>
              <w:t>00</w:t>
            </w:r>
            <w:r>
              <w:rPr>
                <w:rFonts w:hint="eastAsia"/>
              </w:rPr>
              <w:t>mg/</w:t>
            </w:r>
            <w:r>
              <w:t>L</w:t>
            </w:r>
            <w:r>
              <w:rPr>
                <w:rFonts w:hint="eastAsia"/>
              </w:rPr>
              <w:t>，</w:t>
            </w:r>
            <w:r>
              <w:t>3</w:t>
            </w:r>
            <w:r>
              <w:rPr>
                <w:rFonts w:hint="eastAsia"/>
              </w:rPr>
              <w:t>位有效数字</w:t>
            </w:r>
          </w:p>
        </w:tc>
        <w:tc>
          <w:tcPr>
            <w:tcW w:w="2442" w:type="dxa"/>
            <w:vAlign w:val="center"/>
          </w:tcPr>
          <w:p>
            <w:pPr>
              <w:spacing w:line="240" w:lineRule="atLeast"/>
              <w:jc w:val="center"/>
            </w:pPr>
            <w:r>
              <w:rPr>
                <w:rFonts w:hint="eastAsia"/>
              </w:rPr>
              <w:t>H</w:t>
            </w:r>
            <w:r>
              <w:t>J636-2012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993" w:type="dxa"/>
            <w:vMerge w:val="continue"/>
            <w:vAlign w:val="center"/>
          </w:tcPr>
          <w:p>
            <w:pPr>
              <w:spacing w:line="240" w:lineRule="atLeast"/>
              <w:jc w:val="center"/>
            </w:pPr>
          </w:p>
        </w:tc>
        <w:tc>
          <w:tcPr>
            <w:tcW w:w="992" w:type="dxa"/>
            <w:vMerge w:val="continue"/>
            <w:vAlign w:val="center"/>
          </w:tcPr>
          <w:p>
            <w:pPr>
              <w:spacing w:line="240" w:lineRule="atLeast"/>
              <w:jc w:val="center"/>
            </w:pPr>
          </w:p>
        </w:tc>
        <w:tc>
          <w:tcPr>
            <w:tcW w:w="992" w:type="dxa"/>
            <w:vMerge w:val="continue"/>
            <w:vAlign w:val="center"/>
          </w:tcPr>
          <w:p>
            <w:pPr>
              <w:spacing w:line="240" w:lineRule="atLeast"/>
              <w:jc w:val="center"/>
            </w:pPr>
          </w:p>
        </w:tc>
        <w:tc>
          <w:tcPr>
            <w:tcW w:w="992" w:type="dxa"/>
            <w:vMerge w:val="restart"/>
            <w:vAlign w:val="center"/>
          </w:tcPr>
          <w:p>
            <w:pPr>
              <w:spacing w:line="240" w:lineRule="atLeast"/>
              <w:jc w:val="center"/>
            </w:pPr>
            <w:r>
              <w:rPr>
                <w:rFonts w:hint="eastAsia"/>
              </w:rPr>
              <w:t>8</w:t>
            </w:r>
            <w:r>
              <w:t>0</w:t>
            </w:r>
            <w:r>
              <w:rPr>
                <w:rFonts w:hint="eastAsia"/>
              </w:rPr>
              <w:t>~</w:t>
            </w:r>
            <w:r>
              <w:t>120</w:t>
            </w:r>
          </w:p>
        </w:tc>
        <w:tc>
          <w:tcPr>
            <w:tcW w:w="851"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2127" w:type="dxa"/>
            <w:vAlign w:val="center"/>
          </w:tcPr>
          <w:p>
            <w:pPr>
              <w:spacing w:line="240" w:lineRule="atLeast"/>
              <w:jc w:val="center"/>
            </w:pPr>
            <w:r>
              <w:rPr>
                <w:rFonts w:hint="eastAsia"/>
              </w:rPr>
              <w:t>0</w:t>
            </w:r>
            <w:r>
              <w:t>.050</w:t>
            </w:r>
          </w:p>
        </w:tc>
        <w:tc>
          <w:tcPr>
            <w:tcW w:w="2693" w:type="dxa"/>
            <w:vAlign w:val="center"/>
          </w:tcPr>
          <w:p>
            <w:pPr>
              <w:spacing w:line="240" w:lineRule="atLeast"/>
              <w:jc w:val="center"/>
            </w:pPr>
            <w:r>
              <w:rPr>
                <w:rFonts w:hint="eastAsia"/>
              </w:rPr>
              <w:t>＜</w:t>
            </w:r>
            <w:r>
              <w:t>1.00</w:t>
            </w:r>
            <w:r>
              <w:rPr>
                <w:rFonts w:hint="eastAsia"/>
              </w:rPr>
              <w:t>mg/</w:t>
            </w:r>
            <w:r>
              <w:t>L,</w:t>
            </w:r>
            <w:r>
              <w:rPr>
                <w:rFonts w:hint="eastAsia"/>
              </w:rPr>
              <w:t>小数点后</w:t>
            </w:r>
            <w:r>
              <w:t>3</w:t>
            </w:r>
            <w:r>
              <w:rPr>
                <w:rFonts w:hint="eastAsia"/>
              </w:rPr>
              <w:t>位；</w:t>
            </w:r>
          </w:p>
          <w:p>
            <w:pPr>
              <w:spacing w:line="240" w:lineRule="atLeast"/>
              <w:jc w:val="center"/>
            </w:pPr>
            <w:r>
              <w:rPr>
                <w:rFonts w:hint="eastAsia"/>
              </w:rPr>
              <w:t>≥</w:t>
            </w:r>
            <w:r>
              <w:t>1</w:t>
            </w:r>
            <w:r>
              <w:rPr>
                <w:rFonts w:hint="eastAsia"/>
              </w:rPr>
              <w:t>.</w:t>
            </w:r>
            <w:r>
              <w:t>00</w:t>
            </w:r>
            <w:r>
              <w:rPr>
                <w:rFonts w:hint="eastAsia"/>
              </w:rPr>
              <w:t>mg/</w:t>
            </w:r>
            <w:r>
              <w:t>L</w:t>
            </w:r>
            <w:r>
              <w:rPr>
                <w:rFonts w:hint="eastAsia"/>
              </w:rPr>
              <w:t>，</w:t>
            </w:r>
            <w:r>
              <w:t>3</w:t>
            </w:r>
            <w:r>
              <w:rPr>
                <w:rFonts w:hint="eastAsia"/>
              </w:rPr>
              <w:t>位有效数字</w:t>
            </w:r>
          </w:p>
        </w:tc>
        <w:tc>
          <w:tcPr>
            <w:tcW w:w="2442" w:type="dxa"/>
            <w:vAlign w:val="center"/>
          </w:tcPr>
          <w:p>
            <w:pPr>
              <w:spacing w:line="240" w:lineRule="atLeast"/>
              <w:jc w:val="center"/>
            </w:pPr>
            <w:r>
              <w:rPr>
                <w:rFonts w:hint="eastAsia"/>
              </w:rPr>
              <w:t>H</w:t>
            </w:r>
            <w:r>
              <w:t>J/T199-2005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993" w:type="dxa"/>
            <w:vMerge w:val="continue"/>
            <w:vAlign w:val="center"/>
          </w:tcPr>
          <w:p>
            <w:pPr>
              <w:spacing w:line="240" w:lineRule="atLeast"/>
              <w:jc w:val="center"/>
            </w:pPr>
          </w:p>
        </w:tc>
        <w:tc>
          <w:tcPr>
            <w:tcW w:w="992" w:type="dxa"/>
            <w:vMerge w:val="continue"/>
            <w:vAlign w:val="center"/>
          </w:tcPr>
          <w:p>
            <w:pPr>
              <w:spacing w:line="240" w:lineRule="atLeast"/>
              <w:jc w:val="center"/>
            </w:pPr>
          </w:p>
        </w:tc>
        <w:tc>
          <w:tcPr>
            <w:tcW w:w="992" w:type="dxa"/>
            <w:vMerge w:val="continue"/>
            <w:vAlign w:val="center"/>
          </w:tcPr>
          <w:p>
            <w:pPr>
              <w:spacing w:line="240" w:lineRule="atLeast"/>
              <w:jc w:val="center"/>
            </w:pPr>
          </w:p>
        </w:tc>
        <w:tc>
          <w:tcPr>
            <w:tcW w:w="992" w:type="dxa"/>
            <w:vMerge w:val="continue"/>
            <w:vAlign w:val="center"/>
          </w:tcPr>
          <w:p>
            <w:pPr>
              <w:spacing w:line="240" w:lineRule="atLeast"/>
              <w:jc w:val="center"/>
            </w:pPr>
          </w:p>
        </w:tc>
        <w:tc>
          <w:tcPr>
            <w:tcW w:w="851"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2127" w:type="dxa"/>
            <w:vAlign w:val="center"/>
          </w:tcPr>
          <w:p>
            <w:pPr>
              <w:spacing w:line="240" w:lineRule="atLeast"/>
              <w:jc w:val="center"/>
            </w:pPr>
            <w:r>
              <w:rPr>
                <w:rFonts w:hint="eastAsia"/>
              </w:rPr>
              <w:t>0</w:t>
            </w:r>
            <w:r>
              <w:t>.04</w:t>
            </w:r>
          </w:p>
        </w:tc>
        <w:tc>
          <w:tcPr>
            <w:tcW w:w="2693" w:type="dxa"/>
            <w:vAlign w:val="center"/>
          </w:tcPr>
          <w:p>
            <w:pPr>
              <w:spacing w:line="240" w:lineRule="atLeast"/>
              <w:jc w:val="center"/>
            </w:pPr>
            <w:r>
              <w:rPr>
                <w:rFonts w:hint="eastAsia"/>
              </w:rPr>
              <w:t>＜</w:t>
            </w:r>
            <w:r>
              <w:t>1.00</w:t>
            </w:r>
            <w:r>
              <w:rPr>
                <w:rFonts w:hint="eastAsia"/>
              </w:rPr>
              <w:t>mg/</w:t>
            </w:r>
            <w:r>
              <w:t>L,</w:t>
            </w:r>
            <w:r>
              <w:rPr>
                <w:rFonts w:hint="eastAsia"/>
              </w:rPr>
              <w:t>小数点后</w:t>
            </w:r>
            <w:r>
              <w:t>2</w:t>
            </w:r>
            <w:r>
              <w:rPr>
                <w:rFonts w:hint="eastAsia"/>
              </w:rPr>
              <w:t>位；</w:t>
            </w:r>
          </w:p>
          <w:p>
            <w:pPr>
              <w:spacing w:line="240" w:lineRule="atLeast"/>
              <w:jc w:val="center"/>
            </w:pPr>
            <w:r>
              <w:rPr>
                <w:rFonts w:hint="eastAsia"/>
              </w:rPr>
              <w:t>≥</w:t>
            </w:r>
            <w:r>
              <w:t>1</w:t>
            </w:r>
            <w:r>
              <w:rPr>
                <w:rFonts w:hint="eastAsia"/>
              </w:rPr>
              <w:t>.</w:t>
            </w:r>
            <w:r>
              <w:t>00</w:t>
            </w:r>
            <w:r>
              <w:rPr>
                <w:rFonts w:hint="eastAsia"/>
              </w:rPr>
              <w:t>mg/</w:t>
            </w:r>
            <w:r>
              <w:t>L</w:t>
            </w:r>
            <w:r>
              <w:rPr>
                <w:rFonts w:hint="eastAsia"/>
              </w:rPr>
              <w:t>，</w:t>
            </w:r>
            <w:r>
              <w:t>3</w:t>
            </w:r>
            <w:r>
              <w:rPr>
                <w:rFonts w:hint="eastAsia"/>
              </w:rPr>
              <w:t>位有效数字</w:t>
            </w:r>
          </w:p>
        </w:tc>
        <w:tc>
          <w:tcPr>
            <w:tcW w:w="2442" w:type="dxa"/>
            <w:vAlign w:val="center"/>
          </w:tcPr>
          <w:p>
            <w:pPr>
              <w:spacing w:line="240" w:lineRule="atLeast"/>
              <w:jc w:val="center"/>
            </w:pPr>
            <w:r>
              <w:rPr>
                <w:rFonts w:hint="eastAsia"/>
              </w:rPr>
              <w:t>H</w:t>
            </w:r>
            <w:r>
              <w:t>J667-2013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993" w:type="dxa"/>
            <w:vAlign w:val="center"/>
          </w:tcPr>
          <w:p>
            <w:pPr>
              <w:spacing w:line="240" w:lineRule="atLeast"/>
              <w:jc w:val="center"/>
            </w:pPr>
            <w:r>
              <w:rPr>
                <w:rFonts w:hint="eastAsia"/>
              </w:rPr>
              <w:t>/</w:t>
            </w:r>
          </w:p>
        </w:tc>
        <w:tc>
          <w:tcPr>
            <w:tcW w:w="992" w:type="dxa"/>
            <w:vAlign w:val="center"/>
          </w:tcPr>
          <w:p>
            <w:pPr>
              <w:spacing w:line="240" w:lineRule="atLeast"/>
              <w:jc w:val="center"/>
            </w:pPr>
            <w:r>
              <w:rPr>
                <w:rFonts w:hint="eastAsia"/>
              </w:rPr>
              <w:t>/</w:t>
            </w:r>
          </w:p>
        </w:tc>
        <w:tc>
          <w:tcPr>
            <w:tcW w:w="992" w:type="dxa"/>
            <w:vAlign w:val="center"/>
          </w:tcPr>
          <w:p>
            <w:pPr>
              <w:spacing w:line="240" w:lineRule="atLeast"/>
              <w:jc w:val="center"/>
            </w:pPr>
            <w:r>
              <w:rPr>
                <w:rFonts w:hint="eastAsia"/>
              </w:rPr>
              <w:t>/</w:t>
            </w:r>
          </w:p>
        </w:tc>
        <w:tc>
          <w:tcPr>
            <w:tcW w:w="992" w:type="dxa"/>
            <w:vAlign w:val="center"/>
          </w:tcPr>
          <w:p>
            <w:pPr>
              <w:spacing w:line="240" w:lineRule="atLeast"/>
              <w:jc w:val="center"/>
            </w:pPr>
            <w:r>
              <w:rPr>
                <w:rFonts w:hint="eastAsia"/>
              </w:rPr>
              <w:t>/</w:t>
            </w:r>
          </w:p>
        </w:tc>
        <w:tc>
          <w:tcPr>
            <w:tcW w:w="851" w:type="dxa"/>
            <w:vAlign w:val="center"/>
          </w:tcPr>
          <w:p>
            <w:pPr>
              <w:spacing w:line="240" w:lineRule="atLeast"/>
              <w:jc w:val="center"/>
            </w:pPr>
            <w:r>
              <w:rPr>
                <w:rFonts w:hint="eastAsia"/>
              </w:rPr>
              <w:t>≤±1</w:t>
            </w:r>
            <w:r>
              <w:t>0</w:t>
            </w:r>
          </w:p>
          <w:p>
            <w:pPr>
              <w:spacing w:line="240" w:lineRule="atLeast"/>
              <w:jc w:val="center"/>
            </w:pPr>
            <w:r>
              <w:rPr>
                <w:rFonts w:hint="eastAsia"/>
              </w:rPr>
              <w:t>≤±</w:t>
            </w:r>
            <w:r>
              <w:t>5</w:t>
            </w:r>
          </w:p>
        </w:tc>
        <w:tc>
          <w:tcPr>
            <w:tcW w:w="850" w:type="dxa"/>
            <w:vAlign w:val="center"/>
          </w:tcPr>
          <w:p>
            <w:pPr>
              <w:spacing w:line="240" w:lineRule="atLeast"/>
              <w:jc w:val="center"/>
            </w:pPr>
            <w:r>
              <w:rPr>
                <w:rFonts w:hint="eastAsia"/>
              </w:rPr>
              <w:t>≤±1</w:t>
            </w:r>
            <w:r>
              <w:t>5</w:t>
            </w:r>
          </w:p>
          <w:p>
            <w:pPr>
              <w:spacing w:line="240" w:lineRule="atLeast"/>
              <w:jc w:val="center"/>
            </w:pPr>
            <w:r>
              <w:rPr>
                <w:rFonts w:hint="eastAsia"/>
              </w:rPr>
              <w:t>≤±1</w:t>
            </w:r>
            <w:r>
              <w:t>0</w:t>
            </w:r>
          </w:p>
        </w:tc>
        <w:tc>
          <w:tcPr>
            <w:tcW w:w="2127" w:type="dxa"/>
            <w:vAlign w:val="center"/>
          </w:tcPr>
          <w:p>
            <w:pPr>
              <w:spacing w:line="240" w:lineRule="atLeast"/>
              <w:jc w:val="center"/>
            </w:pPr>
            <w:r>
              <w:rPr>
                <w:rFonts w:hint="eastAsia"/>
              </w:rPr>
              <w:t>/</w:t>
            </w:r>
          </w:p>
        </w:tc>
        <w:tc>
          <w:tcPr>
            <w:tcW w:w="2693" w:type="dxa"/>
            <w:vAlign w:val="center"/>
          </w:tcPr>
          <w:p>
            <w:pPr>
              <w:spacing w:line="240" w:lineRule="atLeast"/>
              <w:jc w:val="center"/>
            </w:pPr>
            <w:r>
              <w:rPr>
                <w:rFonts w:hint="eastAsia"/>
              </w:rPr>
              <w:t>/</w:t>
            </w:r>
          </w:p>
        </w:tc>
        <w:tc>
          <w:tcPr>
            <w:tcW w:w="2442" w:type="dxa"/>
            <w:vAlign w:val="center"/>
          </w:tcPr>
          <w:p>
            <w:pPr>
              <w:spacing w:line="240" w:lineRule="atLeast"/>
              <w:jc w:val="center"/>
            </w:pPr>
            <w:r>
              <w:rPr>
                <w:rFonts w:hint="eastAsia"/>
              </w:rPr>
              <w:t>浙江省技术规定第三版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Align w:val="center"/>
          </w:tcPr>
          <w:p>
            <w:pPr>
              <w:spacing w:line="240" w:lineRule="atLeast"/>
              <w:jc w:val="center"/>
            </w:pPr>
            <w:r>
              <w:t>6</w:t>
            </w:r>
          </w:p>
        </w:tc>
        <w:tc>
          <w:tcPr>
            <w:tcW w:w="850" w:type="dxa"/>
            <w:vAlign w:val="center"/>
          </w:tcPr>
          <w:p>
            <w:pPr>
              <w:spacing w:line="240" w:lineRule="atLeast"/>
              <w:jc w:val="center"/>
            </w:pPr>
            <w:r>
              <w:rPr>
                <w:rFonts w:hint="eastAsia"/>
              </w:rPr>
              <w:t>悬浮物</w:t>
            </w:r>
          </w:p>
        </w:tc>
        <w:tc>
          <w:tcPr>
            <w:tcW w:w="993" w:type="dxa"/>
            <w:vAlign w:val="center"/>
          </w:tcPr>
          <w:p>
            <w:pPr>
              <w:spacing w:line="240" w:lineRule="atLeast"/>
              <w:jc w:val="center"/>
            </w:pPr>
            <w:r>
              <w:rPr>
                <w:rFonts w:hint="eastAsia"/>
              </w:rPr>
              <w:t>/</w:t>
            </w:r>
          </w:p>
        </w:tc>
        <w:tc>
          <w:tcPr>
            <w:tcW w:w="992" w:type="dxa"/>
            <w:vAlign w:val="center"/>
          </w:tcPr>
          <w:p>
            <w:pPr>
              <w:spacing w:line="240" w:lineRule="atLeast"/>
              <w:jc w:val="center"/>
            </w:pPr>
            <w:r>
              <w:rPr>
                <w:rFonts w:hint="eastAsia"/>
              </w:rPr>
              <w:t>/</w:t>
            </w:r>
          </w:p>
        </w:tc>
        <w:tc>
          <w:tcPr>
            <w:tcW w:w="992" w:type="dxa"/>
            <w:vAlign w:val="center"/>
          </w:tcPr>
          <w:p>
            <w:pPr>
              <w:spacing w:line="240" w:lineRule="atLeast"/>
              <w:jc w:val="center"/>
            </w:pPr>
            <w:r>
              <w:rPr>
                <w:rFonts w:hint="eastAsia"/>
              </w:rPr>
              <w:t>/</w:t>
            </w:r>
          </w:p>
        </w:tc>
        <w:tc>
          <w:tcPr>
            <w:tcW w:w="992" w:type="dxa"/>
            <w:vAlign w:val="center"/>
          </w:tcPr>
          <w:p>
            <w:pPr>
              <w:spacing w:line="240" w:lineRule="atLeast"/>
              <w:jc w:val="center"/>
            </w:pPr>
            <w:r>
              <w:rPr>
                <w:rFonts w:hint="eastAsia"/>
              </w:rPr>
              <w:t>/</w:t>
            </w:r>
          </w:p>
        </w:tc>
        <w:tc>
          <w:tcPr>
            <w:tcW w:w="851" w:type="dxa"/>
            <w:vAlign w:val="center"/>
          </w:tcPr>
          <w:p>
            <w:pPr>
              <w:spacing w:line="240" w:lineRule="atLeast"/>
              <w:jc w:val="center"/>
            </w:pPr>
            <w:r>
              <w:rPr>
                <w:rFonts w:hint="eastAsia"/>
              </w:rPr>
              <w:t>/</w:t>
            </w:r>
          </w:p>
        </w:tc>
        <w:tc>
          <w:tcPr>
            <w:tcW w:w="850" w:type="dxa"/>
            <w:vAlign w:val="center"/>
          </w:tcPr>
          <w:p>
            <w:pPr>
              <w:spacing w:line="240" w:lineRule="atLeast"/>
              <w:jc w:val="center"/>
            </w:pPr>
            <w:r>
              <w:rPr>
                <w:rFonts w:hint="eastAsia"/>
              </w:rPr>
              <w:t>/</w:t>
            </w:r>
          </w:p>
        </w:tc>
        <w:tc>
          <w:tcPr>
            <w:tcW w:w="2127" w:type="dxa"/>
            <w:vAlign w:val="center"/>
          </w:tcPr>
          <w:p>
            <w:pPr>
              <w:spacing w:line="240" w:lineRule="atLeast"/>
              <w:jc w:val="center"/>
            </w:pPr>
            <w:r>
              <w:rPr>
                <w:rFonts w:hint="eastAsia"/>
              </w:rPr>
              <w:t>4</w:t>
            </w:r>
          </w:p>
        </w:tc>
        <w:tc>
          <w:tcPr>
            <w:tcW w:w="2693" w:type="dxa"/>
            <w:vAlign w:val="center"/>
          </w:tcPr>
          <w:p>
            <w:pPr>
              <w:spacing w:line="240" w:lineRule="atLeast"/>
              <w:jc w:val="center"/>
            </w:pPr>
            <w:r>
              <w:rPr>
                <w:rFonts w:hint="eastAsia"/>
              </w:rPr>
              <w:t>有效位数最多3位，</w:t>
            </w:r>
          </w:p>
          <w:p>
            <w:pPr>
              <w:spacing w:line="240" w:lineRule="atLeast"/>
              <w:jc w:val="center"/>
            </w:pPr>
            <w:r>
              <w:rPr>
                <w:rFonts w:hint="eastAsia"/>
              </w:rPr>
              <w:t>小数点后最多0位</w:t>
            </w:r>
          </w:p>
        </w:tc>
        <w:tc>
          <w:tcPr>
            <w:tcW w:w="2442" w:type="dxa"/>
            <w:vAlign w:val="center"/>
          </w:tcPr>
          <w:p>
            <w:pPr>
              <w:spacing w:line="240" w:lineRule="atLeast"/>
              <w:jc w:val="center"/>
            </w:pPr>
            <w:r>
              <w:rPr>
                <w:rFonts w:hint="eastAsia"/>
              </w:rPr>
              <w:t>G</w:t>
            </w:r>
            <w:r>
              <w:t>B</w:t>
            </w:r>
            <w:r>
              <w:rPr>
                <w:rFonts w:hint="eastAsia"/>
              </w:rPr>
              <w:t>/</w:t>
            </w:r>
            <w:r>
              <w:t>T11901</w:t>
            </w:r>
            <w:r>
              <w:rPr>
                <w:rFonts w:hint="eastAsia"/>
              </w:rPr>
              <w:t>-</w:t>
            </w:r>
            <w:r>
              <w:t>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restart"/>
            <w:vAlign w:val="center"/>
          </w:tcPr>
          <w:p>
            <w:pPr>
              <w:spacing w:line="240" w:lineRule="atLeast"/>
              <w:jc w:val="center"/>
            </w:pPr>
            <w:r>
              <w:rPr>
                <w:rFonts w:hint="eastAsia"/>
              </w:rPr>
              <w:t>7</w:t>
            </w:r>
          </w:p>
        </w:tc>
        <w:tc>
          <w:tcPr>
            <w:tcW w:w="850" w:type="dxa"/>
            <w:vMerge w:val="restart"/>
            <w:vAlign w:val="center"/>
          </w:tcPr>
          <w:p>
            <w:pPr>
              <w:spacing w:line="240" w:lineRule="atLeast"/>
              <w:jc w:val="center"/>
            </w:pPr>
            <w:r>
              <w:rPr>
                <w:rFonts w:hint="eastAsia"/>
              </w:rPr>
              <w:t>粪大肠菌群</w:t>
            </w:r>
          </w:p>
        </w:tc>
        <w:tc>
          <w:tcPr>
            <w:tcW w:w="993" w:type="dxa"/>
            <w:vMerge w:val="restart"/>
            <w:vAlign w:val="center"/>
          </w:tcPr>
          <w:p>
            <w:pPr>
              <w:spacing w:line="240" w:lineRule="atLeast"/>
              <w:jc w:val="center"/>
            </w:pPr>
          </w:p>
        </w:tc>
        <w:tc>
          <w:tcPr>
            <w:tcW w:w="992" w:type="dxa"/>
            <w:vMerge w:val="restart"/>
            <w:vAlign w:val="center"/>
          </w:tcPr>
          <w:p>
            <w:pPr>
              <w:spacing w:line="240" w:lineRule="atLeast"/>
              <w:jc w:val="center"/>
            </w:pPr>
          </w:p>
        </w:tc>
        <w:tc>
          <w:tcPr>
            <w:tcW w:w="992" w:type="dxa"/>
            <w:vMerge w:val="restart"/>
            <w:vAlign w:val="center"/>
          </w:tcPr>
          <w:p>
            <w:pPr>
              <w:spacing w:line="240" w:lineRule="atLeast"/>
              <w:jc w:val="center"/>
            </w:pPr>
          </w:p>
        </w:tc>
        <w:tc>
          <w:tcPr>
            <w:tcW w:w="992" w:type="dxa"/>
            <w:vMerge w:val="restart"/>
            <w:vAlign w:val="center"/>
          </w:tcPr>
          <w:p>
            <w:pPr>
              <w:spacing w:line="240" w:lineRule="atLeast"/>
              <w:jc w:val="center"/>
            </w:pPr>
          </w:p>
        </w:tc>
        <w:tc>
          <w:tcPr>
            <w:tcW w:w="851" w:type="dxa"/>
            <w:vMerge w:val="restart"/>
            <w:vAlign w:val="center"/>
          </w:tcPr>
          <w:p>
            <w:pPr>
              <w:spacing w:line="240" w:lineRule="atLeast"/>
              <w:jc w:val="center"/>
            </w:pPr>
          </w:p>
        </w:tc>
        <w:tc>
          <w:tcPr>
            <w:tcW w:w="850" w:type="dxa"/>
            <w:vMerge w:val="restart"/>
            <w:vAlign w:val="center"/>
          </w:tcPr>
          <w:p>
            <w:pPr>
              <w:spacing w:line="240" w:lineRule="atLeast"/>
              <w:jc w:val="center"/>
            </w:pPr>
          </w:p>
        </w:tc>
        <w:tc>
          <w:tcPr>
            <w:tcW w:w="2127" w:type="dxa"/>
            <w:vAlign w:val="center"/>
          </w:tcPr>
          <w:p>
            <w:pPr>
              <w:spacing w:line="240" w:lineRule="atLeast"/>
              <w:jc w:val="center"/>
            </w:pPr>
            <w:r>
              <w:rPr>
                <w:rFonts w:hint="eastAsia"/>
              </w:rPr>
              <w:t>1</w:t>
            </w:r>
            <w:r>
              <w:t>0CFU/L</w:t>
            </w:r>
            <w:r>
              <w:rPr>
                <w:rFonts w:hint="eastAsia"/>
              </w:rPr>
              <w:t>(接种1</w:t>
            </w:r>
            <w:r>
              <w:t>00</w:t>
            </w:r>
            <w:r>
              <w:rPr>
                <w:rFonts w:hint="eastAsia"/>
              </w:rPr>
              <w:t>ml)</w:t>
            </w:r>
          </w:p>
          <w:p>
            <w:pPr>
              <w:spacing w:line="240" w:lineRule="atLeast"/>
              <w:jc w:val="center"/>
            </w:pPr>
            <w:r>
              <w:rPr>
                <w:rFonts w:hint="eastAsia"/>
              </w:rPr>
              <w:t>2</w:t>
            </w:r>
            <w:r>
              <w:t>CFU</w:t>
            </w:r>
            <w:r>
              <w:rPr>
                <w:rFonts w:hint="eastAsia"/>
              </w:rPr>
              <w:t>/</w:t>
            </w:r>
            <w:r>
              <w:t>L</w:t>
            </w:r>
            <w:r>
              <w:rPr>
                <w:rFonts w:hint="eastAsia"/>
              </w:rPr>
              <w:t>(接种5</w:t>
            </w:r>
            <w:r>
              <w:t>00</w:t>
            </w:r>
            <w:r>
              <w:rPr>
                <w:rFonts w:hint="eastAsia"/>
              </w:rPr>
              <w:t>ml)</w:t>
            </w:r>
          </w:p>
        </w:tc>
        <w:tc>
          <w:tcPr>
            <w:tcW w:w="2693" w:type="dxa"/>
            <w:vAlign w:val="center"/>
          </w:tcPr>
          <w:p>
            <w:pPr>
              <w:spacing w:line="240" w:lineRule="atLeast"/>
              <w:jc w:val="center"/>
            </w:pPr>
            <w:r>
              <w:rPr>
                <w:rFonts w:hint="eastAsia"/>
              </w:rPr>
              <w:t>整数位，最多2位有效数字</w:t>
            </w:r>
          </w:p>
        </w:tc>
        <w:tc>
          <w:tcPr>
            <w:tcW w:w="2442" w:type="dxa"/>
            <w:vAlign w:val="center"/>
          </w:tcPr>
          <w:p>
            <w:pPr>
              <w:spacing w:line="240" w:lineRule="atLeast"/>
              <w:jc w:val="center"/>
            </w:pPr>
            <w:r>
              <w:rPr>
                <w:rFonts w:hint="eastAsia"/>
              </w:rPr>
              <w:t>H</w:t>
            </w:r>
            <w:r>
              <w:t>J347.1</w:t>
            </w:r>
            <w:r>
              <w:rPr>
                <w:rFonts w:hint="eastAsia"/>
              </w:rPr>
              <w:t>-</w:t>
            </w:r>
            <w: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993" w:type="dxa"/>
            <w:vMerge w:val="continue"/>
            <w:vAlign w:val="center"/>
          </w:tcPr>
          <w:p>
            <w:pPr>
              <w:spacing w:line="240" w:lineRule="atLeast"/>
              <w:jc w:val="center"/>
            </w:pPr>
          </w:p>
        </w:tc>
        <w:tc>
          <w:tcPr>
            <w:tcW w:w="992" w:type="dxa"/>
            <w:vMerge w:val="continue"/>
            <w:vAlign w:val="center"/>
          </w:tcPr>
          <w:p>
            <w:pPr>
              <w:spacing w:line="240" w:lineRule="atLeast"/>
              <w:jc w:val="center"/>
            </w:pPr>
          </w:p>
        </w:tc>
        <w:tc>
          <w:tcPr>
            <w:tcW w:w="992" w:type="dxa"/>
            <w:vMerge w:val="continue"/>
            <w:vAlign w:val="center"/>
          </w:tcPr>
          <w:p>
            <w:pPr>
              <w:spacing w:line="240" w:lineRule="atLeast"/>
              <w:jc w:val="center"/>
            </w:pPr>
          </w:p>
        </w:tc>
        <w:tc>
          <w:tcPr>
            <w:tcW w:w="992" w:type="dxa"/>
            <w:vMerge w:val="continue"/>
            <w:vAlign w:val="center"/>
          </w:tcPr>
          <w:p>
            <w:pPr>
              <w:spacing w:line="240" w:lineRule="atLeast"/>
              <w:jc w:val="center"/>
            </w:pPr>
          </w:p>
        </w:tc>
        <w:tc>
          <w:tcPr>
            <w:tcW w:w="851"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2127" w:type="dxa"/>
            <w:vAlign w:val="center"/>
          </w:tcPr>
          <w:p>
            <w:pPr>
              <w:spacing w:line="240" w:lineRule="atLeast"/>
              <w:jc w:val="center"/>
            </w:pPr>
            <w:r>
              <w:t>3MPN/L</w:t>
            </w:r>
            <w:r>
              <w:rPr>
                <w:rFonts w:hint="eastAsia"/>
              </w:rPr>
              <w:t>(1</w:t>
            </w:r>
            <w:r>
              <w:t>2</w:t>
            </w:r>
            <w:r>
              <w:rPr>
                <w:rFonts w:hint="eastAsia"/>
              </w:rPr>
              <w:t>管法)</w:t>
            </w:r>
          </w:p>
          <w:p>
            <w:pPr>
              <w:spacing w:line="240" w:lineRule="atLeast"/>
              <w:jc w:val="center"/>
            </w:pPr>
            <w:r>
              <w:rPr>
                <w:rFonts w:hint="eastAsia"/>
              </w:rPr>
              <w:t>2</w:t>
            </w:r>
            <w:r>
              <w:t>0MPN/L</w:t>
            </w:r>
            <w:r>
              <w:rPr>
                <w:rFonts w:hint="eastAsia"/>
              </w:rPr>
              <w:t>(1</w:t>
            </w:r>
            <w:r>
              <w:t>5</w:t>
            </w:r>
            <w:r>
              <w:rPr>
                <w:rFonts w:hint="eastAsia"/>
              </w:rPr>
              <w:t>管法)</w:t>
            </w:r>
          </w:p>
        </w:tc>
        <w:tc>
          <w:tcPr>
            <w:tcW w:w="2693" w:type="dxa"/>
            <w:vAlign w:val="center"/>
          </w:tcPr>
          <w:p>
            <w:pPr>
              <w:spacing w:line="240" w:lineRule="atLeast"/>
              <w:jc w:val="center"/>
            </w:pPr>
            <w:r>
              <w:rPr>
                <w:rFonts w:hint="eastAsia"/>
              </w:rPr>
              <w:t>整数位，最多2位有效数字</w:t>
            </w:r>
          </w:p>
        </w:tc>
        <w:tc>
          <w:tcPr>
            <w:tcW w:w="2442" w:type="dxa"/>
            <w:vAlign w:val="center"/>
          </w:tcPr>
          <w:p>
            <w:pPr>
              <w:spacing w:line="240" w:lineRule="atLeast"/>
              <w:jc w:val="center"/>
            </w:pPr>
            <w:r>
              <w:rPr>
                <w:rFonts w:hint="eastAsia"/>
              </w:rPr>
              <w:t>H</w:t>
            </w:r>
            <w:r>
              <w:t>J347.2</w:t>
            </w:r>
            <w:r>
              <w:rPr>
                <w:rFonts w:hint="eastAsia"/>
              </w:rPr>
              <w:t>-</w:t>
            </w:r>
            <w: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993" w:type="dxa"/>
            <w:vMerge w:val="continue"/>
            <w:vAlign w:val="center"/>
          </w:tcPr>
          <w:p>
            <w:pPr>
              <w:spacing w:line="240" w:lineRule="atLeast"/>
              <w:jc w:val="center"/>
            </w:pPr>
          </w:p>
        </w:tc>
        <w:tc>
          <w:tcPr>
            <w:tcW w:w="992" w:type="dxa"/>
            <w:vMerge w:val="continue"/>
            <w:vAlign w:val="center"/>
          </w:tcPr>
          <w:p>
            <w:pPr>
              <w:spacing w:line="240" w:lineRule="atLeast"/>
              <w:jc w:val="center"/>
            </w:pPr>
          </w:p>
        </w:tc>
        <w:tc>
          <w:tcPr>
            <w:tcW w:w="992" w:type="dxa"/>
            <w:vMerge w:val="continue"/>
            <w:vAlign w:val="center"/>
          </w:tcPr>
          <w:p>
            <w:pPr>
              <w:spacing w:line="240" w:lineRule="atLeast"/>
              <w:jc w:val="center"/>
            </w:pPr>
          </w:p>
        </w:tc>
        <w:tc>
          <w:tcPr>
            <w:tcW w:w="992" w:type="dxa"/>
            <w:vMerge w:val="continue"/>
            <w:vAlign w:val="center"/>
          </w:tcPr>
          <w:p>
            <w:pPr>
              <w:spacing w:line="240" w:lineRule="atLeast"/>
              <w:jc w:val="center"/>
            </w:pPr>
          </w:p>
        </w:tc>
        <w:tc>
          <w:tcPr>
            <w:tcW w:w="851"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2127" w:type="dxa"/>
            <w:vAlign w:val="center"/>
          </w:tcPr>
          <w:p>
            <w:pPr>
              <w:spacing w:line="240" w:lineRule="atLeast"/>
              <w:jc w:val="center"/>
            </w:pPr>
            <w:r>
              <w:t>10MPN/L</w:t>
            </w:r>
          </w:p>
        </w:tc>
        <w:tc>
          <w:tcPr>
            <w:tcW w:w="2693" w:type="dxa"/>
            <w:vAlign w:val="center"/>
          </w:tcPr>
          <w:p>
            <w:pPr>
              <w:spacing w:line="240" w:lineRule="atLeast"/>
              <w:jc w:val="center"/>
            </w:pPr>
            <w:r>
              <w:rPr>
                <w:rFonts w:hint="eastAsia"/>
              </w:rPr>
              <w:t>2位有效数字</w:t>
            </w:r>
          </w:p>
        </w:tc>
        <w:tc>
          <w:tcPr>
            <w:tcW w:w="2442" w:type="dxa"/>
            <w:vAlign w:val="center"/>
          </w:tcPr>
          <w:p>
            <w:pPr>
              <w:spacing w:line="240" w:lineRule="atLeast"/>
              <w:jc w:val="center"/>
            </w:pPr>
            <w:r>
              <w:rPr>
                <w:rFonts w:hint="eastAsia"/>
              </w:rPr>
              <w:t>H</w:t>
            </w:r>
            <w:r>
              <w:t>J1001</w:t>
            </w:r>
            <w:r>
              <w:rPr>
                <w:rFonts w:hint="eastAsia"/>
              </w:rPr>
              <w:t>-</w:t>
            </w:r>
            <w: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993" w:type="dxa"/>
            <w:vMerge w:val="continue"/>
            <w:vAlign w:val="center"/>
          </w:tcPr>
          <w:p>
            <w:pPr>
              <w:spacing w:line="240" w:lineRule="atLeast"/>
              <w:jc w:val="center"/>
            </w:pPr>
          </w:p>
        </w:tc>
        <w:tc>
          <w:tcPr>
            <w:tcW w:w="992" w:type="dxa"/>
            <w:vMerge w:val="continue"/>
            <w:vAlign w:val="center"/>
          </w:tcPr>
          <w:p>
            <w:pPr>
              <w:spacing w:line="240" w:lineRule="atLeast"/>
              <w:jc w:val="center"/>
            </w:pPr>
          </w:p>
        </w:tc>
        <w:tc>
          <w:tcPr>
            <w:tcW w:w="992" w:type="dxa"/>
            <w:vMerge w:val="continue"/>
            <w:vAlign w:val="center"/>
          </w:tcPr>
          <w:p>
            <w:pPr>
              <w:spacing w:line="240" w:lineRule="atLeast"/>
              <w:jc w:val="center"/>
            </w:pPr>
          </w:p>
        </w:tc>
        <w:tc>
          <w:tcPr>
            <w:tcW w:w="992" w:type="dxa"/>
            <w:vMerge w:val="continue"/>
            <w:vAlign w:val="center"/>
          </w:tcPr>
          <w:p>
            <w:pPr>
              <w:spacing w:line="240" w:lineRule="atLeast"/>
              <w:jc w:val="center"/>
            </w:pPr>
          </w:p>
        </w:tc>
        <w:tc>
          <w:tcPr>
            <w:tcW w:w="851" w:type="dxa"/>
            <w:vMerge w:val="continue"/>
            <w:vAlign w:val="center"/>
          </w:tcPr>
          <w:p>
            <w:pPr>
              <w:spacing w:line="240" w:lineRule="atLeast"/>
              <w:jc w:val="center"/>
            </w:pPr>
          </w:p>
        </w:tc>
        <w:tc>
          <w:tcPr>
            <w:tcW w:w="850" w:type="dxa"/>
            <w:vMerge w:val="continue"/>
            <w:vAlign w:val="center"/>
          </w:tcPr>
          <w:p>
            <w:pPr>
              <w:spacing w:line="240" w:lineRule="atLeast"/>
              <w:jc w:val="center"/>
            </w:pPr>
          </w:p>
        </w:tc>
        <w:tc>
          <w:tcPr>
            <w:tcW w:w="2127" w:type="dxa"/>
            <w:vAlign w:val="center"/>
          </w:tcPr>
          <w:p>
            <w:pPr>
              <w:spacing w:line="240" w:lineRule="atLeast"/>
              <w:jc w:val="center"/>
            </w:pPr>
            <w:r>
              <w:rPr>
                <w:rFonts w:hint="eastAsia"/>
              </w:rPr>
              <w:t>2</w:t>
            </w:r>
            <w:r>
              <w:t>0MPN/L</w:t>
            </w:r>
          </w:p>
        </w:tc>
        <w:tc>
          <w:tcPr>
            <w:tcW w:w="2693" w:type="dxa"/>
            <w:vAlign w:val="center"/>
          </w:tcPr>
          <w:p>
            <w:pPr>
              <w:spacing w:line="240" w:lineRule="atLeast"/>
              <w:jc w:val="center"/>
            </w:pPr>
            <w:r>
              <w:rPr>
                <w:rFonts w:hint="eastAsia"/>
              </w:rPr>
              <w:t>2位有效数字</w:t>
            </w:r>
          </w:p>
        </w:tc>
        <w:tc>
          <w:tcPr>
            <w:tcW w:w="2442" w:type="dxa"/>
            <w:vAlign w:val="center"/>
          </w:tcPr>
          <w:p>
            <w:pPr>
              <w:spacing w:line="240" w:lineRule="atLeast"/>
              <w:jc w:val="center"/>
            </w:pPr>
            <w:r>
              <w:rPr>
                <w:rFonts w:hint="eastAsia"/>
              </w:rPr>
              <w:t>H</w:t>
            </w:r>
            <w:r>
              <w:t>J755</w:t>
            </w:r>
            <w:r>
              <w:rPr>
                <w:rFonts w:hint="eastAsia"/>
              </w:rPr>
              <w:t>-</w:t>
            </w:r>
            <w:r>
              <w:t>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vAlign w:val="center"/>
          </w:tcPr>
          <w:p>
            <w:pPr>
              <w:spacing w:line="240" w:lineRule="atLeast"/>
              <w:jc w:val="center"/>
            </w:pPr>
            <w:r>
              <w:rPr>
                <w:rFonts w:hint="eastAsia"/>
              </w:rPr>
              <w:t>8</w:t>
            </w:r>
          </w:p>
        </w:tc>
        <w:tc>
          <w:tcPr>
            <w:tcW w:w="850" w:type="dxa"/>
            <w:vAlign w:val="center"/>
          </w:tcPr>
          <w:p>
            <w:pPr>
              <w:spacing w:line="240" w:lineRule="atLeast"/>
              <w:jc w:val="center"/>
            </w:pPr>
            <w:r>
              <w:rPr>
                <w:rFonts w:hint="eastAsia"/>
              </w:rPr>
              <w:t>动植物油类</w:t>
            </w:r>
          </w:p>
        </w:tc>
        <w:tc>
          <w:tcPr>
            <w:tcW w:w="993" w:type="dxa"/>
            <w:vAlign w:val="center"/>
          </w:tcPr>
          <w:p>
            <w:pPr>
              <w:spacing w:line="240" w:lineRule="atLeast"/>
              <w:jc w:val="center"/>
            </w:pPr>
            <w:r>
              <w:rPr>
                <w:rFonts w:hint="eastAsia"/>
              </w:rPr>
              <w:t>/</w:t>
            </w:r>
          </w:p>
        </w:tc>
        <w:tc>
          <w:tcPr>
            <w:tcW w:w="992" w:type="dxa"/>
            <w:vAlign w:val="center"/>
          </w:tcPr>
          <w:p>
            <w:pPr>
              <w:spacing w:line="240" w:lineRule="atLeast"/>
              <w:jc w:val="center"/>
            </w:pPr>
            <w:r>
              <w:rPr>
                <w:rFonts w:hint="eastAsia"/>
              </w:rPr>
              <w:t>/</w:t>
            </w:r>
          </w:p>
        </w:tc>
        <w:tc>
          <w:tcPr>
            <w:tcW w:w="992" w:type="dxa"/>
            <w:vAlign w:val="center"/>
          </w:tcPr>
          <w:p>
            <w:pPr>
              <w:spacing w:line="240" w:lineRule="atLeast"/>
              <w:jc w:val="center"/>
            </w:pPr>
            <w:r>
              <w:rPr>
                <w:rFonts w:hint="eastAsia"/>
              </w:rPr>
              <w:t>/</w:t>
            </w:r>
          </w:p>
        </w:tc>
        <w:tc>
          <w:tcPr>
            <w:tcW w:w="992" w:type="dxa"/>
            <w:vAlign w:val="center"/>
          </w:tcPr>
          <w:p>
            <w:pPr>
              <w:spacing w:line="240" w:lineRule="atLeast"/>
              <w:jc w:val="center"/>
            </w:pPr>
            <w:r>
              <w:rPr>
                <w:rFonts w:hint="eastAsia"/>
              </w:rPr>
              <w:t>/</w:t>
            </w:r>
          </w:p>
        </w:tc>
        <w:tc>
          <w:tcPr>
            <w:tcW w:w="851" w:type="dxa"/>
            <w:vAlign w:val="center"/>
          </w:tcPr>
          <w:p>
            <w:pPr>
              <w:spacing w:line="240" w:lineRule="atLeast"/>
              <w:jc w:val="center"/>
            </w:pPr>
            <w:r>
              <w:rPr>
                <w:rFonts w:hint="eastAsia"/>
              </w:rPr>
              <w:t>≤±1</w:t>
            </w:r>
            <w:r>
              <w:t>0</w:t>
            </w:r>
          </w:p>
        </w:tc>
        <w:tc>
          <w:tcPr>
            <w:tcW w:w="850" w:type="dxa"/>
            <w:vAlign w:val="center"/>
          </w:tcPr>
          <w:p>
            <w:pPr>
              <w:spacing w:line="240" w:lineRule="atLeast"/>
              <w:jc w:val="center"/>
            </w:pPr>
            <w:r>
              <w:rPr>
                <w:rFonts w:hint="eastAsia"/>
              </w:rPr>
              <w:t>≤±1</w:t>
            </w:r>
            <w:r>
              <w:t>5</w:t>
            </w:r>
          </w:p>
        </w:tc>
        <w:tc>
          <w:tcPr>
            <w:tcW w:w="2127" w:type="dxa"/>
            <w:vAlign w:val="center"/>
          </w:tcPr>
          <w:p>
            <w:pPr>
              <w:spacing w:line="240" w:lineRule="atLeast"/>
              <w:jc w:val="center"/>
            </w:pPr>
            <w:r>
              <w:rPr>
                <w:rFonts w:hint="eastAsia"/>
              </w:rPr>
              <w:t>0</w:t>
            </w:r>
            <w:r>
              <w:t>.06</w:t>
            </w:r>
          </w:p>
        </w:tc>
        <w:tc>
          <w:tcPr>
            <w:tcW w:w="2693" w:type="dxa"/>
            <w:vAlign w:val="center"/>
          </w:tcPr>
          <w:p>
            <w:pPr>
              <w:spacing w:line="240" w:lineRule="atLeast"/>
              <w:jc w:val="center"/>
            </w:pPr>
            <w:r>
              <w:rPr>
                <w:rFonts w:hint="eastAsia"/>
              </w:rPr>
              <w:t>有效位数最多3位，</w:t>
            </w:r>
          </w:p>
          <w:p>
            <w:pPr>
              <w:spacing w:line="240" w:lineRule="atLeast"/>
              <w:jc w:val="center"/>
            </w:pPr>
            <w:r>
              <w:rPr>
                <w:rFonts w:hint="eastAsia"/>
              </w:rPr>
              <w:t>小数点后最多2位</w:t>
            </w:r>
          </w:p>
        </w:tc>
        <w:tc>
          <w:tcPr>
            <w:tcW w:w="2442" w:type="dxa"/>
            <w:vAlign w:val="center"/>
          </w:tcPr>
          <w:p>
            <w:pPr>
              <w:spacing w:line="240" w:lineRule="atLeast"/>
              <w:jc w:val="center"/>
            </w:pPr>
            <w:r>
              <w:rPr>
                <w:rFonts w:hint="eastAsia"/>
              </w:rPr>
              <w:t>H</w:t>
            </w:r>
            <w:r>
              <w:t>J637</w:t>
            </w:r>
            <w:r>
              <w:rPr>
                <w:rFonts w:hint="eastAsia"/>
              </w:rPr>
              <w:t>-</w:t>
            </w:r>
            <w:r>
              <w:t>2018</w:t>
            </w:r>
          </w:p>
        </w:tc>
      </w:tr>
    </w:tbl>
    <w:p/>
    <w:p/>
    <w:p/>
    <w:p/>
    <w:p>
      <w:pPr>
        <w:sectPr>
          <w:pgSz w:w="16838" w:h="11906" w:orient="landscape"/>
          <w:pgMar w:top="1134" w:right="1440" w:bottom="851" w:left="1440" w:header="851" w:footer="992" w:gutter="0"/>
          <w:pgNumType w:fmt="lowerRoman" w:start="1"/>
          <w:cols w:space="425" w:num="1"/>
          <w:docGrid w:type="lines" w:linePitch="312" w:charSpace="0"/>
        </w:sectPr>
      </w:pPr>
    </w:p>
    <w:p>
      <w:pPr>
        <w:pStyle w:val="2"/>
        <w:spacing w:before="0" w:after="0"/>
        <w:rPr>
          <w:rFonts w:ascii="黑体" w:hAnsi="黑体" w:eastAsia="黑体"/>
          <w:sz w:val="21"/>
          <w:szCs w:val="21"/>
        </w:rPr>
      </w:pPr>
      <w:bookmarkStart w:id="55" w:name="_Toc34083622"/>
      <w:r>
        <w:rPr>
          <w:rFonts w:hint="eastAsia" w:ascii="黑体" w:hAnsi="黑体" w:eastAsia="黑体"/>
          <w:sz w:val="21"/>
          <w:szCs w:val="21"/>
        </w:rPr>
        <w:t>附录</w:t>
      </w:r>
      <w:r>
        <w:rPr>
          <w:rFonts w:ascii="黑体" w:hAnsi="黑体" w:eastAsia="黑体"/>
          <w:sz w:val="21"/>
          <w:szCs w:val="21"/>
        </w:rPr>
        <w:t xml:space="preserve">2  </w:t>
      </w:r>
      <w:r>
        <w:rPr>
          <w:rFonts w:hint="eastAsia" w:ascii="黑体" w:hAnsi="黑体" w:eastAsia="黑体"/>
          <w:sz w:val="21"/>
          <w:szCs w:val="21"/>
        </w:rPr>
        <w:t>水质检测技术记录范本</w:t>
      </w:r>
      <w:bookmarkEnd w:id="55"/>
    </w:p>
    <w:p>
      <w:pPr>
        <w:jc w:val="center"/>
        <w:rPr>
          <w:bCs/>
          <w:szCs w:val="21"/>
        </w:rPr>
      </w:pPr>
      <w:r>
        <w:rPr>
          <w:bCs/>
          <w:szCs w:val="21"/>
        </w:rPr>
        <w:drawing>
          <wp:inline distT="0" distB="0" distL="0" distR="0">
            <wp:extent cx="7772400" cy="51765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3" cstate="print">
                      <a:extLst>
                        <a:ext uri="{28A0092B-C50C-407E-A947-70E740481C1C}">
                          <a14:useLocalDpi xmlns:a14="http://schemas.microsoft.com/office/drawing/2010/main" val="0"/>
                        </a:ext>
                      </a:extLst>
                    </a:blip>
                    <a:srcRect l="2410" t="5718" r="3012" b="5232"/>
                    <a:stretch>
                      <a:fillRect/>
                    </a:stretch>
                  </pic:blipFill>
                  <pic:spPr>
                    <a:xfrm>
                      <a:off x="0" y="0"/>
                      <a:ext cx="7777149" cy="5180048"/>
                    </a:xfrm>
                    <a:prstGeom prst="rect">
                      <a:avLst/>
                    </a:prstGeom>
                    <a:noFill/>
                    <a:ln>
                      <a:noFill/>
                    </a:ln>
                  </pic:spPr>
                </pic:pic>
              </a:graphicData>
            </a:graphic>
          </wp:inline>
        </w:drawing>
      </w:r>
      <w:r>
        <w:rPr>
          <w:bCs/>
          <w:szCs w:val="21"/>
        </w:rPr>
        <w:br w:type="page"/>
      </w:r>
    </w:p>
    <w:p>
      <w:pPr>
        <w:rPr>
          <w:bCs/>
          <w:szCs w:val="21"/>
        </w:rPr>
        <w:sectPr>
          <w:pgSz w:w="16838" w:h="11906" w:orient="landscape"/>
          <w:pgMar w:top="1134" w:right="1440" w:bottom="851" w:left="1440" w:header="851" w:footer="992" w:gutter="0"/>
          <w:pgNumType w:fmt="lowerLetter" w:start="1"/>
          <w:cols w:space="425" w:num="1"/>
          <w:docGrid w:type="lines" w:linePitch="312" w:charSpace="0"/>
        </w:sectPr>
      </w:pPr>
    </w:p>
    <w:p>
      <w:pPr>
        <w:spacing w:line="324" w:lineRule="auto"/>
        <w:ind w:firstLine="420" w:firstLineChars="200"/>
        <w:jc w:val="center"/>
        <w:rPr>
          <w:bCs/>
          <w:szCs w:val="21"/>
        </w:rPr>
      </w:pPr>
      <w:r>
        <w:rPr>
          <w:bCs/>
          <w:szCs w:val="21"/>
        </w:rPr>
        <w:drawing>
          <wp:inline distT="0" distB="0" distL="0" distR="0">
            <wp:extent cx="8336280" cy="47205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l="6717" t="9638" r="5582" b="20080"/>
                    <a:stretch>
                      <a:fillRect/>
                    </a:stretch>
                  </pic:blipFill>
                  <pic:spPr>
                    <a:xfrm>
                      <a:off x="0" y="0"/>
                      <a:ext cx="8347008" cy="4727270"/>
                    </a:xfrm>
                    <a:prstGeom prst="rect">
                      <a:avLst/>
                    </a:prstGeom>
                    <a:noFill/>
                    <a:ln>
                      <a:noFill/>
                    </a:ln>
                  </pic:spPr>
                </pic:pic>
              </a:graphicData>
            </a:graphic>
          </wp:inline>
        </w:drawing>
      </w:r>
    </w:p>
    <w:p>
      <w:pPr>
        <w:spacing w:line="324" w:lineRule="auto"/>
        <w:ind w:firstLine="420" w:firstLineChars="200"/>
        <w:jc w:val="left"/>
        <w:rPr>
          <w:bCs/>
          <w:szCs w:val="21"/>
        </w:rPr>
        <w:sectPr>
          <w:pgSz w:w="16838" w:h="11906" w:orient="landscape"/>
          <w:pgMar w:top="1134" w:right="1440" w:bottom="1797" w:left="1440" w:header="851" w:footer="992" w:gutter="0"/>
          <w:pgNumType w:fmt="lowerLetter"/>
          <w:cols w:space="425" w:num="1"/>
          <w:docGrid w:type="lines" w:linePitch="312" w:charSpace="0"/>
        </w:sectPr>
      </w:pPr>
      <w:r>
        <w:rPr>
          <w:bCs/>
          <w:szCs w:val="21"/>
        </w:rPr>
        <w:br w:type="page"/>
      </w:r>
    </w:p>
    <w:p>
      <w:pPr>
        <w:spacing w:line="324" w:lineRule="auto"/>
        <w:ind w:firstLine="420" w:firstLineChars="200"/>
        <w:jc w:val="center"/>
        <w:rPr>
          <w:bCs/>
          <w:szCs w:val="21"/>
        </w:rPr>
      </w:pPr>
      <w:r>
        <w:rPr>
          <w:bCs/>
          <w:szCs w:val="21"/>
        </w:rPr>
        <w:drawing>
          <wp:inline distT="0" distB="0" distL="0" distR="0">
            <wp:extent cx="5356860" cy="76650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l="8166" t="5014" r="5489" b="7663"/>
                    <a:stretch>
                      <a:fillRect/>
                    </a:stretch>
                  </pic:blipFill>
                  <pic:spPr>
                    <a:xfrm>
                      <a:off x="0" y="0"/>
                      <a:ext cx="5359961" cy="7670145"/>
                    </a:xfrm>
                    <a:prstGeom prst="rect">
                      <a:avLst/>
                    </a:prstGeom>
                    <a:noFill/>
                    <a:ln>
                      <a:noFill/>
                    </a:ln>
                  </pic:spPr>
                </pic:pic>
              </a:graphicData>
            </a:graphic>
          </wp:inline>
        </w:drawing>
      </w:r>
    </w:p>
    <w:p>
      <w:pPr>
        <w:spacing w:line="324" w:lineRule="auto"/>
        <w:ind w:firstLine="420" w:firstLineChars="200"/>
        <w:jc w:val="left"/>
        <w:rPr>
          <w:bCs/>
          <w:szCs w:val="21"/>
        </w:rPr>
      </w:pPr>
    </w:p>
    <w:p>
      <w:pPr>
        <w:spacing w:line="324" w:lineRule="auto"/>
        <w:ind w:firstLine="420" w:firstLineChars="200"/>
        <w:jc w:val="center"/>
        <w:rPr>
          <w:bCs/>
          <w:szCs w:val="21"/>
        </w:rPr>
      </w:pPr>
    </w:p>
    <w:p>
      <w:pPr>
        <w:spacing w:line="324" w:lineRule="auto"/>
        <w:ind w:firstLine="420" w:firstLineChars="200"/>
        <w:jc w:val="center"/>
        <w:rPr>
          <w:bCs/>
          <w:szCs w:val="21"/>
        </w:rPr>
      </w:pPr>
    </w:p>
    <w:p>
      <w:pPr>
        <w:spacing w:line="324" w:lineRule="auto"/>
        <w:ind w:firstLine="420" w:firstLineChars="200"/>
        <w:jc w:val="center"/>
        <w:rPr>
          <w:bCs/>
          <w:szCs w:val="21"/>
        </w:rPr>
      </w:pPr>
      <w:r>
        <w:rPr>
          <w:bCs/>
          <w:szCs w:val="21"/>
        </w:rPr>
        <w:drawing>
          <wp:inline distT="0" distB="0" distL="0" distR="0">
            <wp:extent cx="5384165" cy="7200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l="4686" t="3881" r="4818" b="10596"/>
                    <a:stretch>
                      <a:fillRect/>
                    </a:stretch>
                  </pic:blipFill>
                  <pic:spPr>
                    <a:xfrm>
                      <a:off x="0" y="0"/>
                      <a:ext cx="5394410" cy="7213826"/>
                    </a:xfrm>
                    <a:prstGeom prst="rect">
                      <a:avLst/>
                    </a:prstGeom>
                    <a:noFill/>
                    <a:ln>
                      <a:noFill/>
                    </a:ln>
                  </pic:spPr>
                </pic:pic>
              </a:graphicData>
            </a:graphic>
          </wp:inline>
        </w:drawing>
      </w:r>
    </w:p>
    <w:p>
      <w:pPr>
        <w:spacing w:line="324" w:lineRule="auto"/>
        <w:ind w:firstLine="420" w:firstLineChars="200"/>
        <w:jc w:val="center"/>
        <w:rPr>
          <w:bCs/>
          <w:szCs w:val="21"/>
        </w:rPr>
      </w:pPr>
      <w:r>
        <w:rPr>
          <w:bCs/>
          <w:szCs w:val="21"/>
        </w:rPr>
        <w:br w:type="page"/>
      </w:r>
    </w:p>
    <w:p>
      <w:pPr>
        <w:spacing w:line="324" w:lineRule="auto"/>
        <w:ind w:firstLine="420" w:firstLineChars="200"/>
        <w:jc w:val="center"/>
        <w:rPr>
          <w:bCs/>
          <w:szCs w:val="21"/>
        </w:rPr>
        <w:sectPr>
          <w:pgSz w:w="11906" w:h="16838"/>
          <w:pgMar w:top="1440" w:right="1797" w:bottom="1440" w:left="1134" w:header="851" w:footer="992" w:gutter="0"/>
          <w:pgNumType w:fmt="lowerLetter"/>
          <w:cols w:space="425" w:num="1"/>
          <w:docGrid w:type="lines" w:linePitch="312" w:charSpace="0"/>
        </w:sectPr>
      </w:pPr>
    </w:p>
    <w:p>
      <w:pPr>
        <w:spacing w:line="324" w:lineRule="auto"/>
        <w:ind w:firstLine="420" w:firstLineChars="200"/>
        <w:rPr>
          <w:bCs/>
          <w:szCs w:val="21"/>
        </w:rPr>
      </w:pPr>
      <w:r>
        <w:rPr>
          <w:rFonts w:hint="eastAsia"/>
          <w:bCs/>
          <w:szCs w:val="21"/>
        </w:rPr>
        <w:drawing>
          <wp:inline distT="0" distB="0" distL="0" distR="0">
            <wp:extent cx="5401310" cy="81534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rcRect l="10844" t="8894" r="11379" b="8136"/>
                    <a:stretch>
                      <a:fillRect/>
                    </a:stretch>
                  </pic:blipFill>
                  <pic:spPr>
                    <a:xfrm>
                      <a:off x="0" y="0"/>
                      <a:ext cx="5411571" cy="8168586"/>
                    </a:xfrm>
                    <a:prstGeom prst="rect">
                      <a:avLst/>
                    </a:prstGeom>
                    <a:noFill/>
                    <a:ln>
                      <a:noFill/>
                    </a:ln>
                  </pic:spPr>
                </pic:pic>
              </a:graphicData>
            </a:graphic>
          </wp:inline>
        </w:drawing>
      </w:r>
    </w:p>
    <w:p>
      <w:pPr>
        <w:spacing w:line="324" w:lineRule="auto"/>
        <w:ind w:firstLine="420" w:firstLineChars="200"/>
        <w:rPr>
          <w:bCs/>
          <w:szCs w:val="21"/>
        </w:rPr>
      </w:pPr>
      <w:r>
        <w:rPr>
          <w:bCs/>
          <w:szCs w:val="21"/>
        </w:rPr>
        <w:drawing>
          <wp:inline distT="0" distB="0" distL="0" distR="0">
            <wp:extent cx="5402580" cy="82365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cstate="print">
                      <a:extLst>
                        <a:ext uri="{28A0092B-C50C-407E-A947-70E740481C1C}">
                          <a14:useLocalDpi xmlns:a14="http://schemas.microsoft.com/office/drawing/2010/main" val="0"/>
                        </a:ext>
                      </a:extLst>
                    </a:blip>
                    <a:srcRect l="9371" t="8232" r="11781" b="6809"/>
                    <a:stretch>
                      <a:fillRect/>
                    </a:stretch>
                  </pic:blipFill>
                  <pic:spPr>
                    <a:xfrm>
                      <a:off x="0" y="0"/>
                      <a:ext cx="5411751" cy="8251018"/>
                    </a:xfrm>
                    <a:prstGeom prst="rect">
                      <a:avLst/>
                    </a:prstGeom>
                    <a:noFill/>
                    <a:ln>
                      <a:noFill/>
                    </a:ln>
                  </pic:spPr>
                </pic:pic>
              </a:graphicData>
            </a:graphic>
          </wp:inline>
        </w:drawing>
      </w:r>
    </w:p>
    <w:p>
      <w:pPr>
        <w:spacing w:line="324" w:lineRule="auto"/>
        <w:ind w:firstLine="420" w:firstLineChars="200"/>
        <w:jc w:val="center"/>
        <w:rPr>
          <w:bCs/>
          <w:szCs w:val="21"/>
        </w:rPr>
      </w:pPr>
      <w:r>
        <w:rPr>
          <w:bCs/>
          <w:szCs w:val="21"/>
        </w:rPr>
        <w:br w:type="page"/>
      </w:r>
    </w:p>
    <w:p>
      <w:pPr>
        <w:spacing w:line="324" w:lineRule="auto"/>
        <w:ind w:firstLine="420" w:firstLineChars="200"/>
        <w:jc w:val="center"/>
        <w:rPr>
          <w:bCs/>
          <w:szCs w:val="21"/>
        </w:rPr>
      </w:pPr>
      <w:r>
        <w:rPr>
          <w:rFonts w:hint="eastAsia"/>
          <w:bCs/>
          <w:szCs w:val="21"/>
        </w:rPr>
        <w:drawing>
          <wp:inline distT="0" distB="0" distL="0" distR="0">
            <wp:extent cx="5518785" cy="82600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cstate="print">
                      <a:extLst>
                        <a:ext uri="{28A0092B-C50C-407E-A947-70E740481C1C}">
                          <a14:useLocalDpi xmlns:a14="http://schemas.microsoft.com/office/drawing/2010/main" val="0"/>
                        </a:ext>
                      </a:extLst>
                    </a:blip>
                    <a:srcRect l="10174" t="8986" r="11379" b="8042"/>
                    <a:stretch>
                      <a:fillRect/>
                    </a:stretch>
                  </pic:blipFill>
                  <pic:spPr>
                    <a:xfrm>
                      <a:off x="0" y="0"/>
                      <a:ext cx="5530115" cy="8276297"/>
                    </a:xfrm>
                    <a:prstGeom prst="rect">
                      <a:avLst/>
                    </a:prstGeom>
                    <a:noFill/>
                    <a:ln>
                      <a:noFill/>
                    </a:ln>
                  </pic:spPr>
                </pic:pic>
              </a:graphicData>
            </a:graphic>
          </wp:inline>
        </w:drawing>
      </w:r>
      <w:r>
        <w:rPr>
          <w:bCs/>
          <w:szCs w:val="21"/>
        </w:rPr>
        <w:br w:type="page"/>
      </w:r>
    </w:p>
    <w:p>
      <w:pPr>
        <w:spacing w:line="324" w:lineRule="auto"/>
        <w:ind w:firstLine="420" w:firstLineChars="200"/>
        <w:jc w:val="center"/>
        <w:rPr>
          <w:bCs/>
          <w:szCs w:val="21"/>
        </w:rPr>
      </w:pPr>
    </w:p>
    <w:p>
      <w:pPr>
        <w:spacing w:line="324" w:lineRule="auto"/>
        <w:ind w:firstLine="420" w:firstLineChars="200"/>
        <w:jc w:val="center"/>
        <w:rPr>
          <w:bCs/>
          <w:szCs w:val="21"/>
        </w:rPr>
      </w:pPr>
      <w:r>
        <w:rPr>
          <w:rFonts w:hint="eastAsia"/>
          <w:bCs/>
          <w:szCs w:val="21"/>
        </w:rPr>
        <w:drawing>
          <wp:inline distT="0" distB="0" distL="0" distR="0">
            <wp:extent cx="5425440" cy="75520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0" cstate="print">
                      <a:extLst>
                        <a:ext uri="{28A0092B-C50C-407E-A947-70E740481C1C}">
                          <a14:useLocalDpi xmlns:a14="http://schemas.microsoft.com/office/drawing/2010/main" val="0"/>
                        </a:ext>
                      </a:extLst>
                    </a:blip>
                    <a:srcRect l="7630" t="8704" r="8032" b="8326"/>
                    <a:stretch>
                      <a:fillRect/>
                    </a:stretch>
                  </pic:blipFill>
                  <pic:spPr>
                    <a:xfrm>
                      <a:off x="0" y="0"/>
                      <a:ext cx="5434840" cy="7565642"/>
                    </a:xfrm>
                    <a:prstGeom prst="rect">
                      <a:avLst/>
                    </a:prstGeom>
                    <a:noFill/>
                    <a:ln>
                      <a:noFill/>
                    </a:ln>
                  </pic:spPr>
                </pic:pic>
              </a:graphicData>
            </a:graphic>
          </wp:inline>
        </w:drawing>
      </w:r>
      <w:r>
        <w:rPr>
          <w:bCs/>
          <w:szCs w:val="21"/>
        </w:rPr>
        <w:br w:type="page"/>
      </w:r>
    </w:p>
    <w:p>
      <w:pPr>
        <w:spacing w:line="324" w:lineRule="auto"/>
        <w:ind w:firstLine="420" w:firstLineChars="200"/>
        <w:jc w:val="center"/>
        <w:rPr>
          <w:bCs/>
          <w:szCs w:val="21"/>
        </w:rPr>
      </w:pPr>
    </w:p>
    <w:p>
      <w:pPr>
        <w:spacing w:line="324" w:lineRule="auto"/>
        <w:ind w:firstLine="420" w:firstLineChars="200"/>
        <w:jc w:val="center"/>
        <w:rPr>
          <w:bCs/>
          <w:szCs w:val="21"/>
        </w:rPr>
        <w:sectPr>
          <w:pgSz w:w="11906" w:h="16838"/>
          <w:pgMar w:top="1440" w:right="1797" w:bottom="1440" w:left="1134" w:header="851" w:footer="992" w:gutter="0"/>
          <w:pgNumType w:fmt="lowerLetter"/>
          <w:cols w:space="425" w:num="1"/>
          <w:docGrid w:type="lines" w:linePitch="312" w:charSpace="0"/>
        </w:sectPr>
      </w:pPr>
      <w:r>
        <w:rPr>
          <w:rFonts w:hint="eastAsia"/>
          <w:bCs/>
          <w:szCs w:val="21"/>
        </w:rPr>
        <w:drawing>
          <wp:inline distT="0" distB="0" distL="0" distR="0">
            <wp:extent cx="5494020" cy="791908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1" cstate="print">
                      <a:extLst>
                        <a:ext uri="{28A0092B-C50C-407E-A947-70E740481C1C}">
                          <a14:useLocalDpi xmlns:a14="http://schemas.microsoft.com/office/drawing/2010/main" val="0"/>
                        </a:ext>
                      </a:extLst>
                    </a:blip>
                    <a:srcRect l="9236" t="8515" r="9504" b="8704"/>
                    <a:stretch>
                      <a:fillRect/>
                    </a:stretch>
                  </pic:blipFill>
                  <pic:spPr>
                    <a:xfrm>
                      <a:off x="0" y="0"/>
                      <a:ext cx="5496863" cy="7923814"/>
                    </a:xfrm>
                    <a:prstGeom prst="rect">
                      <a:avLst/>
                    </a:prstGeom>
                    <a:noFill/>
                    <a:ln>
                      <a:noFill/>
                    </a:ln>
                  </pic:spPr>
                </pic:pic>
              </a:graphicData>
            </a:graphic>
          </wp:inline>
        </w:drawing>
      </w:r>
      <w:r>
        <w:rPr>
          <w:bCs/>
          <w:szCs w:val="21"/>
        </w:rPr>
        <w:br w:type="page"/>
      </w:r>
    </w:p>
    <w:p>
      <w:pPr>
        <w:spacing w:line="324" w:lineRule="auto"/>
        <w:ind w:firstLine="420" w:firstLineChars="200"/>
        <w:jc w:val="left"/>
        <w:rPr>
          <w:bCs/>
          <w:szCs w:val="21"/>
        </w:rPr>
        <w:sectPr>
          <w:pgSz w:w="16838" w:h="11906" w:orient="landscape"/>
          <w:pgMar w:top="1797" w:right="1440" w:bottom="1134" w:left="1440" w:header="851" w:footer="992" w:gutter="0"/>
          <w:pgNumType w:fmt="lowerLetter"/>
          <w:cols w:space="425" w:num="1"/>
          <w:docGrid w:type="lines" w:linePitch="312" w:charSpace="0"/>
        </w:sectPr>
      </w:pPr>
      <w:r>
        <w:drawing>
          <wp:inline distT="0" distB="0" distL="0" distR="0">
            <wp:extent cx="8654415" cy="55397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cstate="print"/>
                    <a:srcRect l="3602" t="9550" r="4382" b="5725"/>
                    <a:stretch>
                      <a:fillRect/>
                    </a:stretch>
                  </pic:blipFill>
                  <pic:spPr>
                    <a:xfrm>
                      <a:off x="0" y="0"/>
                      <a:ext cx="8690196" cy="5562590"/>
                    </a:xfrm>
                    <a:prstGeom prst="rect">
                      <a:avLst/>
                    </a:prstGeom>
                    <a:ln>
                      <a:noFill/>
                    </a:ln>
                  </pic:spPr>
                </pic:pic>
              </a:graphicData>
            </a:graphic>
          </wp:inline>
        </w:drawing>
      </w:r>
    </w:p>
    <w:p>
      <w:pPr>
        <w:spacing w:line="324" w:lineRule="auto"/>
        <w:ind w:firstLine="420" w:firstLineChars="200"/>
        <w:jc w:val="center"/>
        <w:rPr>
          <w:bCs/>
          <w:szCs w:val="21"/>
        </w:rPr>
        <w:sectPr>
          <w:pgSz w:w="11906" w:h="16838"/>
          <w:pgMar w:top="1440" w:right="1797" w:bottom="1440" w:left="1134" w:header="851" w:footer="992" w:gutter="0"/>
          <w:pgNumType w:fmt="lowerLetter"/>
          <w:cols w:space="425" w:num="1"/>
          <w:docGrid w:type="lines" w:linePitch="312" w:charSpace="0"/>
        </w:sectPr>
      </w:pPr>
      <w:r>
        <w:rPr>
          <w:rFonts w:hint="eastAsia"/>
          <w:bCs/>
          <w:szCs w:val="21"/>
        </w:rPr>
        <w:drawing>
          <wp:inline distT="0" distB="0" distL="0" distR="0">
            <wp:extent cx="5739130" cy="75387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3" cstate="print">
                      <a:extLst>
                        <a:ext uri="{28A0092B-C50C-407E-A947-70E740481C1C}">
                          <a14:useLocalDpi xmlns:a14="http://schemas.microsoft.com/office/drawing/2010/main" val="0"/>
                        </a:ext>
                      </a:extLst>
                    </a:blip>
                    <a:srcRect l="4819" t="7570" r="4685" b="8420"/>
                    <a:stretch>
                      <a:fillRect/>
                    </a:stretch>
                  </pic:blipFill>
                  <pic:spPr>
                    <a:xfrm>
                      <a:off x="0" y="0"/>
                      <a:ext cx="5750359" cy="7553727"/>
                    </a:xfrm>
                    <a:prstGeom prst="rect">
                      <a:avLst/>
                    </a:prstGeom>
                    <a:noFill/>
                    <a:ln>
                      <a:noFill/>
                    </a:ln>
                  </pic:spPr>
                </pic:pic>
              </a:graphicData>
            </a:graphic>
          </wp:inline>
        </w:drawing>
      </w:r>
    </w:p>
    <w:p>
      <w:pPr>
        <w:spacing w:line="324" w:lineRule="auto"/>
        <w:ind w:firstLine="420" w:firstLineChars="200"/>
        <w:jc w:val="center"/>
        <w:rPr>
          <w:bCs/>
          <w:szCs w:val="21"/>
        </w:rPr>
      </w:pPr>
    </w:p>
    <w:p>
      <w:pPr>
        <w:spacing w:line="324" w:lineRule="auto"/>
        <w:ind w:firstLine="420" w:firstLineChars="200"/>
        <w:jc w:val="center"/>
        <w:rPr>
          <w:bCs/>
          <w:szCs w:val="21"/>
        </w:rPr>
      </w:pPr>
      <w:r>
        <w:rPr>
          <w:rFonts w:hint="eastAsia"/>
          <w:bCs/>
          <w:szCs w:val="21"/>
        </w:rPr>
        <w:drawing>
          <wp:inline distT="0" distB="0" distL="0" distR="0">
            <wp:extent cx="8331200" cy="52654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4" cstate="print">
                      <a:extLst>
                        <a:ext uri="{28A0092B-C50C-407E-A947-70E740481C1C}">
                          <a14:useLocalDpi xmlns:a14="http://schemas.microsoft.com/office/drawing/2010/main" val="0"/>
                        </a:ext>
                      </a:extLst>
                    </a:blip>
                    <a:srcRect l="7285" t="10174" r="6338" b="12584"/>
                    <a:stretch>
                      <a:fillRect/>
                    </a:stretch>
                  </pic:blipFill>
                  <pic:spPr>
                    <a:xfrm>
                      <a:off x="0" y="0"/>
                      <a:ext cx="8334237" cy="5267092"/>
                    </a:xfrm>
                    <a:prstGeom prst="rect">
                      <a:avLst/>
                    </a:prstGeom>
                    <a:noFill/>
                    <a:ln>
                      <a:noFill/>
                    </a:ln>
                  </pic:spPr>
                </pic:pic>
              </a:graphicData>
            </a:graphic>
          </wp:inline>
        </w:drawing>
      </w:r>
      <w:r>
        <w:rPr>
          <w:bCs/>
          <w:szCs w:val="21"/>
        </w:rPr>
        <w:br w:type="page"/>
      </w:r>
    </w:p>
    <w:p>
      <w:pPr>
        <w:spacing w:line="324" w:lineRule="auto"/>
        <w:ind w:firstLine="420" w:firstLineChars="200"/>
        <w:jc w:val="center"/>
        <w:rPr>
          <w:bCs/>
          <w:szCs w:val="21"/>
        </w:rPr>
      </w:pPr>
    </w:p>
    <w:p>
      <w:pPr>
        <w:spacing w:line="324" w:lineRule="auto"/>
        <w:ind w:firstLine="420" w:firstLineChars="200"/>
        <w:jc w:val="center"/>
        <w:rPr>
          <w:bCs/>
          <w:szCs w:val="21"/>
        </w:rPr>
      </w:pPr>
      <w:r>
        <w:rPr>
          <w:rFonts w:hint="eastAsia"/>
          <w:bCs/>
          <w:szCs w:val="21"/>
        </w:rPr>
        <w:drawing>
          <wp:inline distT="0" distB="0" distL="0" distR="0">
            <wp:extent cx="8054975" cy="5334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5" cstate="print">
                      <a:extLst>
                        <a:ext uri="{28A0092B-C50C-407E-A947-70E740481C1C}">
                          <a14:useLocalDpi xmlns:a14="http://schemas.microsoft.com/office/drawing/2010/main" val="0"/>
                        </a:ext>
                      </a:extLst>
                    </a:blip>
                    <a:srcRect l="3689" t="7898" r="4731" b="6292"/>
                    <a:stretch>
                      <a:fillRect/>
                    </a:stretch>
                  </pic:blipFill>
                  <pic:spPr>
                    <a:xfrm>
                      <a:off x="0" y="0"/>
                      <a:ext cx="8058180" cy="5336047"/>
                    </a:xfrm>
                    <a:prstGeom prst="rect">
                      <a:avLst/>
                    </a:prstGeom>
                    <a:noFill/>
                    <a:ln>
                      <a:noFill/>
                    </a:ln>
                  </pic:spPr>
                </pic:pic>
              </a:graphicData>
            </a:graphic>
          </wp:inline>
        </w:drawing>
      </w:r>
      <w:r>
        <w:rPr>
          <w:bCs/>
          <w:szCs w:val="21"/>
        </w:rPr>
        <w:br w:type="page"/>
      </w:r>
    </w:p>
    <w:p>
      <w:pPr>
        <w:spacing w:line="324" w:lineRule="auto"/>
        <w:ind w:firstLine="420" w:firstLineChars="200"/>
        <w:jc w:val="center"/>
        <w:rPr>
          <w:bCs/>
          <w:szCs w:val="21"/>
        </w:rPr>
      </w:pPr>
      <w:r>
        <w:rPr>
          <w:rFonts w:hint="eastAsia"/>
          <w:bCs/>
          <w:szCs w:val="21"/>
        </w:rPr>
        <w:drawing>
          <wp:inline distT="0" distB="0" distL="0" distR="0">
            <wp:extent cx="8031480" cy="535114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6" cstate="print">
                      <a:extLst>
                        <a:ext uri="{28A0092B-C50C-407E-A947-70E740481C1C}">
                          <a14:useLocalDpi xmlns:a14="http://schemas.microsoft.com/office/drawing/2010/main" val="0"/>
                        </a:ext>
                      </a:extLst>
                    </a:blip>
                    <a:srcRect l="3784" t="7899" r="4920" b="6024"/>
                    <a:stretch>
                      <a:fillRect/>
                    </a:stretch>
                  </pic:blipFill>
                  <pic:spPr>
                    <a:xfrm>
                      <a:off x="0" y="0"/>
                      <a:ext cx="8031480" cy="5351546"/>
                    </a:xfrm>
                    <a:prstGeom prst="rect">
                      <a:avLst/>
                    </a:prstGeom>
                    <a:noFill/>
                    <a:ln>
                      <a:noFill/>
                    </a:ln>
                  </pic:spPr>
                </pic:pic>
              </a:graphicData>
            </a:graphic>
          </wp:inline>
        </w:drawing>
      </w:r>
      <w:r>
        <w:rPr>
          <w:bCs/>
          <w:szCs w:val="21"/>
        </w:rPr>
        <w:br w:type="page"/>
      </w:r>
    </w:p>
    <w:p>
      <w:pPr>
        <w:spacing w:line="324" w:lineRule="auto"/>
        <w:ind w:firstLine="420" w:firstLineChars="200"/>
        <w:jc w:val="center"/>
        <w:rPr>
          <w:bCs/>
          <w:szCs w:val="21"/>
        </w:rPr>
        <w:sectPr>
          <w:pgSz w:w="16838" w:h="11906" w:orient="landscape"/>
          <w:pgMar w:top="1134" w:right="1440" w:bottom="1797" w:left="1440" w:header="851" w:footer="992" w:gutter="0"/>
          <w:pgNumType w:fmt="lowerLetter"/>
          <w:cols w:space="425" w:num="1"/>
          <w:docGrid w:type="lines" w:linePitch="312" w:charSpace="0"/>
        </w:sectPr>
      </w:pPr>
    </w:p>
    <w:p>
      <w:pPr>
        <w:pStyle w:val="2"/>
        <w:spacing w:before="40" w:after="40"/>
        <w:jc w:val="left"/>
        <w:rPr>
          <w:bCs/>
          <w:sz w:val="21"/>
          <w:szCs w:val="21"/>
        </w:rPr>
      </w:pPr>
      <w:bookmarkStart w:id="56" w:name="_Toc34083623"/>
      <w:r>
        <w:rPr>
          <w:rFonts w:hint="eastAsia" w:ascii="黑体" w:hAnsi="黑体" w:eastAsia="黑体"/>
          <w:bCs/>
          <w:sz w:val="21"/>
          <w:szCs w:val="21"/>
        </w:rPr>
        <w:t>附录</w:t>
      </w:r>
      <w:r>
        <w:rPr>
          <w:rFonts w:ascii="黑体" w:hAnsi="黑体" w:eastAsia="黑体"/>
          <w:bCs/>
          <w:sz w:val="21"/>
          <w:szCs w:val="21"/>
        </w:rPr>
        <w:t xml:space="preserve">3  </w:t>
      </w:r>
      <w:r>
        <w:rPr>
          <w:rFonts w:hint="eastAsia" w:ascii="黑体" w:hAnsi="黑体" w:eastAsia="黑体"/>
          <w:bCs/>
          <w:sz w:val="21"/>
          <w:szCs w:val="21"/>
        </w:rPr>
        <w:t>自检报告范本</w:t>
      </w:r>
      <w:bookmarkEnd w:id="56"/>
    </w:p>
    <w:p>
      <w:pPr>
        <w:spacing w:line="324" w:lineRule="auto"/>
        <w:ind w:firstLine="420" w:firstLineChars="200"/>
        <w:jc w:val="center"/>
        <w:rPr>
          <w:bCs/>
          <w:szCs w:val="21"/>
        </w:rPr>
      </w:pPr>
    </w:p>
    <w:p>
      <w:pPr>
        <w:spacing w:line="324" w:lineRule="auto"/>
        <w:ind w:firstLine="420" w:firstLineChars="200"/>
        <w:jc w:val="center"/>
        <w:rPr>
          <w:bCs/>
          <w:szCs w:val="21"/>
        </w:rPr>
      </w:pPr>
      <w:r>
        <w:rPr>
          <w:bCs/>
          <w:szCs w:val="21"/>
        </w:rPr>
        <w:drawing>
          <wp:inline distT="0" distB="0" distL="0" distR="0">
            <wp:extent cx="5342255" cy="750443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7" cstate="print">
                      <a:extLst>
                        <a:ext uri="{28A0092B-C50C-407E-A947-70E740481C1C}">
                          <a14:useLocalDpi xmlns:a14="http://schemas.microsoft.com/office/drawing/2010/main" val="0"/>
                        </a:ext>
                      </a:extLst>
                    </a:blip>
                    <a:srcRect l="10550" t="7571" r="9057" b="12513"/>
                    <a:stretch>
                      <a:fillRect/>
                    </a:stretch>
                  </pic:blipFill>
                  <pic:spPr>
                    <a:xfrm>
                      <a:off x="0" y="0"/>
                      <a:ext cx="5349222" cy="7514336"/>
                    </a:xfrm>
                    <a:prstGeom prst="rect">
                      <a:avLst/>
                    </a:prstGeom>
                    <a:noFill/>
                    <a:ln>
                      <a:noFill/>
                    </a:ln>
                  </pic:spPr>
                </pic:pic>
              </a:graphicData>
            </a:graphic>
          </wp:inline>
        </w:drawing>
      </w:r>
      <w:r>
        <w:rPr>
          <w:bCs/>
          <w:szCs w:val="21"/>
        </w:rPr>
        <w:br w:type="page"/>
      </w:r>
    </w:p>
    <w:p>
      <w:pPr>
        <w:spacing w:line="324" w:lineRule="auto"/>
        <w:ind w:firstLine="420" w:firstLineChars="200"/>
        <w:jc w:val="center"/>
        <w:rPr>
          <w:bCs/>
          <w:szCs w:val="21"/>
        </w:rPr>
      </w:pPr>
    </w:p>
    <w:p>
      <w:pPr>
        <w:spacing w:line="324" w:lineRule="auto"/>
        <w:ind w:firstLine="420" w:firstLineChars="200"/>
        <w:jc w:val="center"/>
        <w:rPr>
          <w:bCs/>
          <w:szCs w:val="21"/>
        </w:rPr>
      </w:pPr>
      <w:r>
        <w:rPr>
          <w:bCs/>
          <w:szCs w:val="21"/>
        </w:rPr>
        <w:drawing>
          <wp:inline distT="0" distB="0" distL="0" distR="0">
            <wp:extent cx="5410200" cy="84963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8" cstate="print">
                      <a:extLst>
                        <a:ext uri="{28A0092B-C50C-407E-A947-70E740481C1C}">
                          <a14:useLocalDpi xmlns:a14="http://schemas.microsoft.com/office/drawing/2010/main" val="0"/>
                        </a:ext>
                      </a:extLst>
                    </a:blip>
                    <a:srcRect l="10710" t="6906" r="9505" b="4541"/>
                    <a:stretch>
                      <a:fillRect/>
                    </a:stretch>
                  </pic:blipFill>
                  <pic:spPr>
                    <a:xfrm>
                      <a:off x="0" y="0"/>
                      <a:ext cx="5413836" cy="8502266"/>
                    </a:xfrm>
                    <a:prstGeom prst="rect">
                      <a:avLst/>
                    </a:prstGeom>
                    <a:noFill/>
                    <a:ln>
                      <a:noFill/>
                    </a:ln>
                  </pic:spPr>
                </pic:pic>
              </a:graphicData>
            </a:graphic>
          </wp:inline>
        </w:drawing>
      </w:r>
    </w:p>
    <w:sectPr>
      <w:pgSz w:w="11906" w:h="16838"/>
      <w:pgMar w:top="1440" w:right="1797" w:bottom="1440" w:left="1134" w:header="851" w:footer="992" w:gutter="0"/>
      <w:pgNumType w:fmt="chineseCountingThousand"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serif">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0002A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_x0000_s2049" o:spid="_x0000_s2049" o:spt="202" type="#_x0000_t202" style="position:absolute;left:0pt;margin-top:0pt;height:11.65pt;width:29.1pt;mso-position-horizontal:center;mso-position-horizontal-relative:margin;mso-wrap-style:none;z-index:251658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">
          <v:path/>
          <v:fill on="f" focussize="0,0"/>
          <v:stroke on="f" weight="0.5pt" joinstyle="miter"/>
          <v:imagedata o:title=""/>
          <o:lock v:ext="edit"/>
          <v:textbox inset="0mm,0mm,0mm,0mm" style="mso-fit-shape-to-text:t;">
            <w:txbxContent>
              <w:p>
                <w:pPr>
                  <w:pStyle w:val="8"/>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6A74CC"/>
    <w:rsid w:val="0000033F"/>
    <w:rsid w:val="00005A5B"/>
    <w:rsid w:val="00016524"/>
    <w:rsid w:val="00023B07"/>
    <w:rsid w:val="00025BEF"/>
    <w:rsid w:val="00033810"/>
    <w:rsid w:val="00042ED4"/>
    <w:rsid w:val="000466E4"/>
    <w:rsid w:val="000523C5"/>
    <w:rsid w:val="0005533E"/>
    <w:rsid w:val="00061E5F"/>
    <w:rsid w:val="0006602C"/>
    <w:rsid w:val="00075400"/>
    <w:rsid w:val="000823D0"/>
    <w:rsid w:val="00092C00"/>
    <w:rsid w:val="00095411"/>
    <w:rsid w:val="000C291E"/>
    <w:rsid w:val="000C3E6A"/>
    <w:rsid w:val="000E4E92"/>
    <w:rsid w:val="000E6355"/>
    <w:rsid w:val="000F64E7"/>
    <w:rsid w:val="00101B5C"/>
    <w:rsid w:val="00105C05"/>
    <w:rsid w:val="00111BAB"/>
    <w:rsid w:val="00125972"/>
    <w:rsid w:val="00141473"/>
    <w:rsid w:val="0015034B"/>
    <w:rsid w:val="001508F3"/>
    <w:rsid w:val="0015454F"/>
    <w:rsid w:val="00164613"/>
    <w:rsid w:val="00165443"/>
    <w:rsid w:val="001712EB"/>
    <w:rsid w:val="00173C86"/>
    <w:rsid w:val="00173EAA"/>
    <w:rsid w:val="00177390"/>
    <w:rsid w:val="00181548"/>
    <w:rsid w:val="001A55F9"/>
    <w:rsid w:val="001B3782"/>
    <w:rsid w:val="001C0F13"/>
    <w:rsid w:val="001D5F31"/>
    <w:rsid w:val="001E3DB3"/>
    <w:rsid w:val="001E6EBF"/>
    <w:rsid w:val="001E797A"/>
    <w:rsid w:val="002016F6"/>
    <w:rsid w:val="00202224"/>
    <w:rsid w:val="00205EF1"/>
    <w:rsid w:val="002309EE"/>
    <w:rsid w:val="0023173A"/>
    <w:rsid w:val="002409E6"/>
    <w:rsid w:val="002434A4"/>
    <w:rsid w:val="002741EE"/>
    <w:rsid w:val="00290184"/>
    <w:rsid w:val="00297919"/>
    <w:rsid w:val="002C5DC3"/>
    <w:rsid w:val="002C7079"/>
    <w:rsid w:val="002D41B5"/>
    <w:rsid w:val="002D6141"/>
    <w:rsid w:val="002D73CC"/>
    <w:rsid w:val="002E43AC"/>
    <w:rsid w:val="00300CE5"/>
    <w:rsid w:val="003153FF"/>
    <w:rsid w:val="00315EC5"/>
    <w:rsid w:val="00320AC1"/>
    <w:rsid w:val="00335490"/>
    <w:rsid w:val="00343BBC"/>
    <w:rsid w:val="0034582A"/>
    <w:rsid w:val="00345F9B"/>
    <w:rsid w:val="00357371"/>
    <w:rsid w:val="00357B80"/>
    <w:rsid w:val="003607B8"/>
    <w:rsid w:val="00377444"/>
    <w:rsid w:val="00384212"/>
    <w:rsid w:val="00392EA6"/>
    <w:rsid w:val="003944D1"/>
    <w:rsid w:val="003A1696"/>
    <w:rsid w:val="003A272C"/>
    <w:rsid w:val="003A4849"/>
    <w:rsid w:val="003A6B0A"/>
    <w:rsid w:val="003E5BCD"/>
    <w:rsid w:val="003F05FD"/>
    <w:rsid w:val="003F1CCD"/>
    <w:rsid w:val="004226A9"/>
    <w:rsid w:val="00425C44"/>
    <w:rsid w:val="00463913"/>
    <w:rsid w:val="004A3D9C"/>
    <w:rsid w:val="004A7FEA"/>
    <w:rsid w:val="004B5D4D"/>
    <w:rsid w:val="004B68A9"/>
    <w:rsid w:val="004C4EC2"/>
    <w:rsid w:val="004D7A84"/>
    <w:rsid w:val="004D7DC8"/>
    <w:rsid w:val="004F39AA"/>
    <w:rsid w:val="004F5F71"/>
    <w:rsid w:val="004F7FD8"/>
    <w:rsid w:val="0050681E"/>
    <w:rsid w:val="00513260"/>
    <w:rsid w:val="005237C7"/>
    <w:rsid w:val="00530CE3"/>
    <w:rsid w:val="005318E4"/>
    <w:rsid w:val="005437BA"/>
    <w:rsid w:val="0054606F"/>
    <w:rsid w:val="005601F7"/>
    <w:rsid w:val="0059080C"/>
    <w:rsid w:val="005918C1"/>
    <w:rsid w:val="005970BE"/>
    <w:rsid w:val="005B4BF6"/>
    <w:rsid w:val="005B58FC"/>
    <w:rsid w:val="005B62FC"/>
    <w:rsid w:val="005C1E01"/>
    <w:rsid w:val="005C74F0"/>
    <w:rsid w:val="005E7A52"/>
    <w:rsid w:val="005F6590"/>
    <w:rsid w:val="006008D3"/>
    <w:rsid w:val="00601051"/>
    <w:rsid w:val="00601D29"/>
    <w:rsid w:val="00617374"/>
    <w:rsid w:val="0062155E"/>
    <w:rsid w:val="00626E4B"/>
    <w:rsid w:val="0064383A"/>
    <w:rsid w:val="0066186C"/>
    <w:rsid w:val="00672403"/>
    <w:rsid w:val="00674B89"/>
    <w:rsid w:val="006807D1"/>
    <w:rsid w:val="006A74CC"/>
    <w:rsid w:val="006C49D6"/>
    <w:rsid w:val="006D09EB"/>
    <w:rsid w:val="006E17DA"/>
    <w:rsid w:val="006F4449"/>
    <w:rsid w:val="0071444A"/>
    <w:rsid w:val="007667DC"/>
    <w:rsid w:val="00766AFA"/>
    <w:rsid w:val="00771B77"/>
    <w:rsid w:val="00776EA9"/>
    <w:rsid w:val="00782CB1"/>
    <w:rsid w:val="00783A09"/>
    <w:rsid w:val="007B0FD1"/>
    <w:rsid w:val="007B3581"/>
    <w:rsid w:val="007B3EA1"/>
    <w:rsid w:val="007C2B6C"/>
    <w:rsid w:val="007D6F7C"/>
    <w:rsid w:val="007E1139"/>
    <w:rsid w:val="007E3385"/>
    <w:rsid w:val="007F002D"/>
    <w:rsid w:val="008068D6"/>
    <w:rsid w:val="00811CF9"/>
    <w:rsid w:val="00825033"/>
    <w:rsid w:val="00830EE7"/>
    <w:rsid w:val="00843A05"/>
    <w:rsid w:val="0085218E"/>
    <w:rsid w:val="0085799F"/>
    <w:rsid w:val="00882873"/>
    <w:rsid w:val="008A5B42"/>
    <w:rsid w:val="008C443F"/>
    <w:rsid w:val="008D5F93"/>
    <w:rsid w:val="008E3FD4"/>
    <w:rsid w:val="008F307D"/>
    <w:rsid w:val="008F66A6"/>
    <w:rsid w:val="00900B48"/>
    <w:rsid w:val="009511B3"/>
    <w:rsid w:val="00952312"/>
    <w:rsid w:val="00960098"/>
    <w:rsid w:val="009748D8"/>
    <w:rsid w:val="00980066"/>
    <w:rsid w:val="00990068"/>
    <w:rsid w:val="009901B4"/>
    <w:rsid w:val="009C20BC"/>
    <w:rsid w:val="009E61A4"/>
    <w:rsid w:val="00A040D5"/>
    <w:rsid w:val="00A06E9B"/>
    <w:rsid w:val="00A13CA0"/>
    <w:rsid w:val="00A26CC0"/>
    <w:rsid w:val="00A348BD"/>
    <w:rsid w:val="00A45210"/>
    <w:rsid w:val="00A460F9"/>
    <w:rsid w:val="00A66D6A"/>
    <w:rsid w:val="00A80A1A"/>
    <w:rsid w:val="00A80F43"/>
    <w:rsid w:val="00A8654C"/>
    <w:rsid w:val="00AA504E"/>
    <w:rsid w:val="00AA55E8"/>
    <w:rsid w:val="00AC33A8"/>
    <w:rsid w:val="00AC560B"/>
    <w:rsid w:val="00AE5FE5"/>
    <w:rsid w:val="00B10B50"/>
    <w:rsid w:val="00B17624"/>
    <w:rsid w:val="00B208E5"/>
    <w:rsid w:val="00B243FA"/>
    <w:rsid w:val="00B246A0"/>
    <w:rsid w:val="00B35F15"/>
    <w:rsid w:val="00B405D6"/>
    <w:rsid w:val="00B46378"/>
    <w:rsid w:val="00B573B2"/>
    <w:rsid w:val="00B83604"/>
    <w:rsid w:val="00B85E26"/>
    <w:rsid w:val="00B96E12"/>
    <w:rsid w:val="00BC367F"/>
    <w:rsid w:val="00BC56A8"/>
    <w:rsid w:val="00BE1C5F"/>
    <w:rsid w:val="00BE4918"/>
    <w:rsid w:val="00BF3790"/>
    <w:rsid w:val="00BF7332"/>
    <w:rsid w:val="00C035ED"/>
    <w:rsid w:val="00C05FF3"/>
    <w:rsid w:val="00C27BAC"/>
    <w:rsid w:val="00C30BAB"/>
    <w:rsid w:val="00C473EA"/>
    <w:rsid w:val="00C652D9"/>
    <w:rsid w:val="00C93AEB"/>
    <w:rsid w:val="00CE423A"/>
    <w:rsid w:val="00CE4ACD"/>
    <w:rsid w:val="00CE5C4D"/>
    <w:rsid w:val="00CE68AE"/>
    <w:rsid w:val="00CF1B66"/>
    <w:rsid w:val="00D023DA"/>
    <w:rsid w:val="00D144E7"/>
    <w:rsid w:val="00D151B9"/>
    <w:rsid w:val="00D266DE"/>
    <w:rsid w:val="00D61706"/>
    <w:rsid w:val="00D61EE3"/>
    <w:rsid w:val="00D62244"/>
    <w:rsid w:val="00D75E1A"/>
    <w:rsid w:val="00D76125"/>
    <w:rsid w:val="00D8380C"/>
    <w:rsid w:val="00D86145"/>
    <w:rsid w:val="00D92C17"/>
    <w:rsid w:val="00D92F49"/>
    <w:rsid w:val="00D9677B"/>
    <w:rsid w:val="00DB176C"/>
    <w:rsid w:val="00DB2F1A"/>
    <w:rsid w:val="00DC045F"/>
    <w:rsid w:val="00DC3E2B"/>
    <w:rsid w:val="00DC799F"/>
    <w:rsid w:val="00DD7507"/>
    <w:rsid w:val="00E02BE5"/>
    <w:rsid w:val="00E04366"/>
    <w:rsid w:val="00E05166"/>
    <w:rsid w:val="00E302DE"/>
    <w:rsid w:val="00E44F05"/>
    <w:rsid w:val="00E45443"/>
    <w:rsid w:val="00E90CF1"/>
    <w:rsid w:val="00EB6500"/>
    <w:rsid w:val="00ED3D26"/>
    <w:rsid w:val="00EE1D4C"/>
    <w:rsid w:val="00EF4859"/>
    <w:rsid w:val="00F13F41"/>
    <w:rsid w:val="00F1467C"/>
    <w:rsid w:val="00F22A00"/>
    <w:rsid w:val="00F3302F"/>
    <w:rsid w:val="00F3377B"/>
    <w:rsid w:val="00F37F54"/>
    <w:rsid w:val="00F410A7"/>
    <w:rsid w:val="00F412BA"/>
    <w:rsid w:val="00F46F4C"/>
    <w:rsid w:val="00F6261A"/>
    <w:rsid w:val="00F82B16"/>
    <w:rsid w:val="00F92D4C"/>
    <w:rsid w:val="00FC782F"/>
    <w:rsid w:val="00FD091E"/>
    <w:rsid w:val="00FD698C"/>
    <w:rsid w:val="01203972"/>
    <w:rsid w:val="01806502"/>
    <w:rsid w:val="01A95F28"/>
    <w:rsid w:val="01EA019C"/>
    <w:rsid w:val="01F66F24"/>
    <w:rsid w:val="02AC2B29"/>
    <w:rsid w:val="02AD496C"/>
    <w:rsid w:val="02C141A1"/>
    <w:rsid w:val="02E32B49"/>
    <w:rsid w:val="034C68FB"/>
    <w:rsid w:val="04C46ECE"/>
    <w:rsid w:val="05CB27DD"/>
    <w:rsid w:val="06A55A6D"/>
    <w:rsid w:val="06F61B5A"/>
    <w:rsid w:val="073B2765"/>
    <w:rsid w:val="08044A44"/>
    <w:rsid w:val="08CF5EF1"/>
    <w:rsid w:val="09272512"/>
    <w:rsid w:val="09A95E73"/>
    <w:rsid w:val="09D6475B"/>
    <w:rsid w:val="0A2C1AB3"/>
    <w:rsid w:val="0AF02119"/>
    <w:rsid w:val="0B197D1A"/>
    <w:rsid w:val="0B881D8B"/>
    <w:rsid w:val="0C0E71A2"/>
    <w:rsid w:val="0D0D7581"/>
    <w:rsid w:val="0D3611FD"/>
    <w:rsid w:val="0D790472"/>
    <w:rsid w:val="0D79692C"/>
    <w:rsid w:val="0D8164E0"/>
    <w:rsid w:val="0EA67165"/>
    <w:rsid w:val="0F6C49CA"/>
    <w:rsid w:val="0FD947D0"/>
    <w:rsid w:val="12581D5B"/>
    <w:rsid w:val="131F6E8D"/>
    <w:rsid w:val="13514F7A"/>
    <w:rsid w:val="13602B8D"/>
    <w:rsid w:val="137A72E6"/>
    <w:rsid w:val="14A36EA9"/>
    <w:rsid w:val="15530D01"/>
    <w:rsid w:val="15801EBB"/>
    <w:rsid w:val="15DE5614"/>
    <w:rsid w:val="16047C36"/>
    <w:rsid w:val="163D2463"/>
    <w:rsid w:val="165D1EC3"/>
    <w:rsid w:val="16994B84"/>
    <w:rsid w:val="17BC1D8E"/>
    <w:rsid w:val="17BD0075"/>
    <w:rsid w:val="180D5794"/>
    <w:rsid w:val="18A37841"/>
    <w:rsid w:val="18AE6DFD"/>
    <w:rsid w:val="19915235"/>
    <w:rsid w:val="1993256A"/>
    <w:rsid w:val="19A0599D"/>
    <w:rsid w:val="1A9134DE"/>
    <w:rsid w:val="1AA638A5"/>
    <w:rsid w:val="1AAD2E89"/>
    <w:rsid w:val="1B150039"/>
    <w:rsid w:val="1C375940"/>
    <w:rsid w:val="1C4B4D3C"/>
    <w:rsid w:val="1C970C3E"/>
    <w:rsid w:val="1C98616A"/>
    <w:rsid w:val="1CB028E5"/>
    <w:rsid w:val="1D306312"/>
    <w:rsid w:val="1D497847"/>
    <w:rsid w:val="1D8A2F68"/>
    <w:rsid w:val="1DBF2585"/>
    <w:rsid w:val="1DE17247"/>
    <w:rsid w:val="1DFF3073"/>
    <w:rsid w:val="1E6A1FF6"/>
    <w:rsid w:val="1EBE0D80"/>
    <w:rsid w:val="1EF40B30"/>
    <w:rsid w:val="1F9B4D29"/>
    <w:rsid w:val="200069CA"/>
    <w:rsid w:val="21105AD7"/>
    <w:rsid w:val="213B291D"/>
    <w:rsid w:val="214B145D"/>
    <w:rsid w:val="21C34D65"/>
    <w:rsid w:val="21C75675"/>
    <w:rsid w:val="220B4273"/>
    <w:rsid w:val="22272F05"/>
    <w:rsid w:val="228046AE"/>
    <w:rsid w:val="235D1FC2"/>
    <w:rsid w:val="23710845"/>
    <w:rsid w:val="24406CB5"/>
    <w:rsid w:val="245A5F81"/>
    <w:rsid w:val="260D46C1"/>
    <w:rsid w:val="267F32C4"/>
    <w:rsid w:val="26BF3E13"/>
    <w:rsid w:val="27041ACD"/>
    <w:rsid w:val="286B543C"/>
    <w:rsid w:val="287272A5"/>
    <w:rsid w:val="291D6E2D"/>
    <w:rsid w:val="295719BA"/>
    <w:rsid w:val="29907436"/>
    <w:rsid w:val="29D76A93"/>
    <w:rsid w:val="29F61743"/>
    <w:rsid w:val="2A223BD9"/>
    <w:rsid w:val="2A6E33A3"/>
    <w:rsid w:val="2AA30D67"/>
    <w:rsid w:val="2B5834E3"/>
    <w:rsid w:val="2BFE565E"/>
    <w:rsid w:val="2C5D18D6"/>
    <w:rsid w:val="2D15070B"/>
    <w:rsid w:val="2D1910EE"/>
    <w:rsid w:val="2DFB08AF"/>
    <w:rsid w:val="2E3437E8"/>
    <w:rsid w:val="2E5E6B30"/>
    <w:rsid w:val="2F9E7508"/>
    <w:rsid w:val="2FD04F5E"/>
    <w:rsid w:val="3006026F"/>
    <w:rsid w:val="300A7975"/>
    <w:rsid w:val="30AB1A96"/>
    <w:rsid w:val="31D23108"/>
    <w:rsid w:val="321D4647"/>
    <w:rsid w:val="338D6F6B"/>
    <w:rsid w:val="33F6261E"/>
    <w:rsid w:val="34E444DD"/>
    <w:rsid w:val="36705BB3"/>
    <w:rsid w:val="36A923CE"/>
    <w:rsid w:val="37AC59A7"/>
    <w:rsid w:val="37E86A13"/>
    <w:rsid w:val="39386FB7"/>
    <w:rsid w:val="395D10D9"/>
    <w:rsid w:val="3A263372"/>
    <w:rsid w:val="3AB41011"/>
    <w:rsid w:val="3B2A1EB2"/>
    <w:rsid w:val="3D377BDF"/>
    <w:rsid w:val="3D3E15CD"/>
    <w:rsid w:val="3D7443D1"/>
    <w:rsid w:val="3D8805BF"/>
    <w:rsid w:val="3D9733D3"/>
    <w:rsid w:val="3DEB3CC9"/>
    <w:rsid w:val="3E7208F8"/>
    <w:rsid w:val="3E9103DF"/>
    <w:rsid w:val="3EE47359"/>
    <w:rsid w:val="3FFA1056"/>
    <w:rsid w:val="402065E1"/>
    <w:rsid w:val="40A22AD2"/>
    <w:rsid w:val="40FC5448"/>
    <w:rsid w:val="41006263"/>
    <w:rsid w:val="41A72A46"/>
    <w:rsid w:val="42C14B38"/>
    <w:rsid w:val="43971801"/>
    <w:rsid w:val="441168F0"/>
    <w:rsid w:val="443C7B68"/>
    <w:rsid w:val="44A30D89"/>
    <w:rsid w:val="44AD02F7"/>
    <w:rsid w:val="45F23353"/>
    <w:rsid w:val="46A108EC"/>
    <w:rsid w:val="46E1682B"/>
    <w:rsid w:val="47125ACA"/>
    <w:rsid w:val="4748604A"/>
    <w:rsid w:val="48087FEF"/>
    <w:rsid w:val="48352C75"/>
    <w:rsid w:val="48884F95"/>
    <w:rsid w:val="489A05D3"/>
    <w:rsid w:val="48C956AD"/>
    <w:rsid w:val="49396533"/>
    <w:rsid w:val="49CD237E"/>
    <w:rsid w:val="4A283F4D"/>
    <w:rsid w:val="4B013C37"/>
    <w:rsid w:val="4B233AD0"/>
    <w:rsid w:val="4B2D18F5"/>
    <w:rsid w:val="4B431ECE"/>
    <w:rsid w:val="4B5F15A7"/>
    <w:rsid w:val="4B686573"/>
    <w:rsid w:val="4D4F6F3D"/>
    <w:rsid w:val="4D5F3565"/>
    <w:rsid w:val="4E1B15E6"/>
    <w:rsid w:val="4E266C84"/>
    <w:rsid w:val="4E422E2C"/>
    <w:rsid w:val="4F1F7838"/>
    <w:rsid w:val="4F275967"/>
    <w:rsid w:val="4F964475"/>
    <w:rsid w:val="4FFA28CD"/>
    <w:rsid w:val="500C423B"/>
    <w:rsid w:val="505D38DC"/>
    <w:rsid w:val="514F5EB9"/>
    <w:rsid w:val="51D84FD0"/>
    <w:rsid w:val="520E6025"/>
    <w:rsid w:val="52AC499C"/>
    <w:rsid w:val="52F74121"/>
    <w:rsid w:val="53092B5C"/>
    <w:rsid w:val="54065459"/>
    <w:rsid w:val="54226F81"/>
    <w:rsid w:val="546C0DAC"/>
    <w:rsid w:val="557D2375"/>
    <w:rsid w:val="56347981"/>
    <w:rsid w:val="589C28F8"/>
    <w:rsid w:val="58D003BB"/>
    <w:rsid w:val="58E83B2F"/>
    <w:rsid w:val="5909698E"/>
    <w:rsid w:val="59244B68"/>
    <w:rsid w:val="59645191"/>
    <w:rsid w:val="59EF58D9"/>
    <w:rsid w:val="5A3C0671"/>
    <w:rsid w:val="5A41315C"/>
    <w:rsid w:val="5AEA0A47"/>
    <w:rsid w:val="5B1A1D5F"/>
    <w:rsid w:val="5C413E64"/>
    <w:rsid w:val="5C4205AA"/>
    <w:rsid w:val="5C536E32"/>
    <w:rsid w:val="5C8D21E2"/>
    <w:rsid w:val="5D507FAE"/>
    <w:rsid w:val="5E5247E5"/>
    <w:rsid w:val="5E9F0B9A"/>
    <w:rsid w:val="5EF66804"/>
    <w:rsid w:val="5F8A622C"/>
    <w:rsid w:val="5FA51ED4"/>
    <w:rsid w:val="5FF9409D"/>
    <w:rsid w:val="610B7CEC"/>
    <w:rsid w:val="61510EFD"/>
    <w:rsid w:val="61670083"/>
    <w:rsid w:val="6258579B"/>
    <w:rsid w:val="626F5EF6"/>
    <w:rsid w:val="628A34DA"/>
    <w:rsid w:val="64F5390F"/>
    <w:rsid w:val="652C163E"/>
    <w:rsid w:val="655658DF"/>
    <w:rsid w:val="65F1351E"/>
    <w:rsid w:val="664C74AF"/>
    <w:rsid w:val="66EE593A"/>
    <w:rsid w:val="68A8694A"/>
    <w:rsid w:val="690B76A0"/>
    <w:rsid w:val="69472964"/>
    <w:rsid w:val="6A2A12E1"/>
    <w:rsid w:val="6B594799"/>
    <w:rsid w:val="6C4B42B4"/>
    <w:rsid w:val="6C533126"/>
    <w:rsid w:val="6C8D7284"/>
    <w:rsid w:val="6CC67F8A"/>
    <w:rsid w:val="6D2B0C63"/>
    <w:rsid w:val="6DF04CCA"/>
    <w:rsid w:val="6FC303AA"/>
    <w:rsid w:val="6FFE4467"/>
    <w:rsid w:val="702826CF"/>
    <w:rsid w:val="702A1353"/>
    <w:rsid w:val="70D97D7B"/>
    <w:rsid w:val="724D0362"/>
    <w:rsid w:val="728D1E94"/>
    <w:rsid w:val="72965252"/>
    <w:rsid w:val="73653400"/>
    <w:rsid w:val="738115C2"/>
    <w:rsid w:val="75362571"/>
    <w:rsid w:val="758F7BBC"/>
    <w:rsid w:val="75A06837"/>
    <w:rsid w:val="75C84DD4"/>
    <w:rsid w:val="764A3D5A"/>
    <w:rsid w:val="770A5912"/>
    <w:rsid w:val="77A360C6"/>
    <w:rsid w:val="77F2082E"/>
    <w:rsid w:val="78466B45"/>
    <w:rsid w:val="788C177E"/>
    <w:rsid w:val="79DE5BDC"/>
    <w:rsid w:val="7A4D49E3"/>
    <w:rsid w:val="7B4031B3"/>
    <w:rsid w:val="7B996D48"/>
    <w:rsid w:val="7C3364B7"/>
    <w:rsid w:val="7C604C74"/>
    <w:rsid w:val="7C7D7682"/>
    <w:rsid w:val="7D1160FA"/>
    <w:rsid w:val="7D35019A"/>
    <w:rsid w:val="7E641888"/>
    <w:rsid w:val="7EDA1976"/>
    <w:rsid w:val="7F473AC2"/>
    <w:rsid w:val="7FB8643D"/>
    <w:rsid w:val="7FD8594B"/>
    <w:rsid w:val="7FF0194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AutoShape 11"/>
        <o:r id="V:Rule2" type="connector" idref="#AutoShape 29"/>
        <o:r id="V:Rule3" type="connector" idref="#AutoShape 30"/>
        <o:r id="V:Rule4" type="connector" idref="#AutoShape 1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99" w:semiHidden="0" w:name="toc 1"/>
    <w:lsdException w:uiPriority="39" w:semiHidden="0" w:name="toc 2"/>
    <w:lsdException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uiPriority="0" w:name="HTML Typewriter"/>
    <w:lsdException w:qFormat="1"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40"/>
    <w:qFormat/>
    <w:uiPriority w:val="99"/>
    <w:pPr>
      <w:keepNext/>
      <w:keepLines/>
      <w:spacing w:before="340" w:after="330" w:line="576" w:lineRule="auto"/>
      <w:outlineLvl w:val="0"/>
    </w:pPr>
    <w:rPr>
      <w:b/>
      <w:kern w:val="44"/>
      <w:sz w:val="44"/>
    </w:rPr>
  </w:style>
  <w:style w:type="paragraph" w:styleId="3">
    <w:name w:val="heading 2"/>
    <w:basedOn w:val="1"/>
    <w:next w:val="1"/>
    <w:link w:val="39"/>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paragraph" w:styleId="5">
    <w:name w:val="heading 4"/>
    <w:basedOn w:val="1"/>
    <w:next w:val="1"/>
    <w:semiHidden/>
    <w:unhideWhenUsed/>
    <w:qFormat/>
    <w:uiPriority w:val="0"/>
    <w:pPr>
      <w:spacing w:beforeAutospacing="1" w:afterAutospacing="1"/>
      <w:jc w:val="left"/>
      <w:outlineLvl w:val="3"/>
    </w:pPr>
    <w:rPr>
      <w:rFonts w:hint="eastAsia" w:ascii="宋体" w:hAnsi="宋体" w:eastAsia="宋体" w:cs="Times New Roman"/>
      <w:b/>
      <w:kern w:val="0"/>
      <w:sz w:val="2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uiPriority w:val="39"/>
    <w:pPr>
      <w:widowControl/>
      <w:spacing w:after="100" w:line="259" w:lineRule="auto"/>
      <w:ind w:left="440"/>
      <w:jc w:val="left"/>
    </w:pPr>
    <w:rPr>
      <w:rFonts w:cs="Times New Roman"/>
      <w:kern w:val="0"/>
      <w:sz w:val="22"/>
      <w:szCs w:val="22"/>
    </w:rPr>
  </w:style>
  <w:style w:type="paragraph" w:styleId="7">
    <w:name w:val="Balloon Text"/>
    <w:basedOn w:val="1"/>
    <w:link w:val="36"/>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unhideWhenUsed/>
    <w:qFormat/>
    <w:uiPriority w:val="99"/>
    <w:pPr>
      <w:tabs>
        <w:tab w:val="right" w:leader="dot" w:pos="8306"/>
      </w:tabs>
      <w:jc w:val="left"/>
    </w:pPr>
    <w:rPr>
      <w:rFonts w:cs="Times New Roman"/>
      <w:kern w:val="0"/>
      <w:sz w:val="22"/>
      <w:szCs w:val="22"/>
    </w:rPr>
  </w:style>
  <w:style w:type="paragraph" w:styleId="11">
    <w:name w:val="toc 2"/>
    <w:basedOn w:val="1"/>
    <w:next w:val="1"/>
    <w:unhideWhenUsed/>
    <w:uiPriority w:val="39"/>
    <w:pPr>
      <w:widowControl/>
      <w:spacing w:after="100" w:line="259" w:lineRule="auto"/>
      <w:ind w:left="220"/>
      <w:jc w:val="left"/>
    </w:pPr>
    <w:rPr>
      <w:rFonts w:cs="Times New Roman"/>
      <w:kern w:val="0"/>
      <w:sz w:val="22"/>
      <w:szCs w:val="22"/>
    </w:rPr>
  </w:style>
  <w:style w:type="paragraph" w:styleId="12">
    <w:name w:val="Normal (Web)"/>
    <w:basedOn w:val="1"/>
    <w:qFormat/>
    <w:uiPriority w:val="0"/>
    <w:pPr>
      <w:spacing w:beforeAutospacing="1" w:afterAutospacing="1"/>
      <w:jc w:val="left"/>
    </w:pPr>
    <w:rPr>
      <w:rFonts w:cs="Times New Roman"/>
      <w:kern w:val="0"/>
      <w:sz w:val="24"/>
    </w:rPr>
  </w:style>
  <w:style w:type="table" w:styleId="14">
    <w:name w:val="Table Grid"/>
    <w:basedOn w:val="13"/>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rPr>
  </w:style>
  <w:style w:type="character" w:styleId="17">
    <w:name w:val="FollowedHyperlink"/>
    <w:basedOn w:val="15"/>
    <w:qFormat/>
    <w:uiPriority w:val="0"/>
    <w:rPr>
      <w:color w:val="338DE6"/>
      <w:u w:val="none"/>
    </w:rPr>
  </w:style>
  <w:style w:type="character" w:styleId="18">
    <w:name w:val="Emphasis"/>
    <w:basedOn w:val="15"/>
    <w:qFormat/>
    <w:uiPriority w:val="0"/>
  </w:style>
  <w:style w:type="character" w:styleId="19">
    <w:name w:val="HTML Definition"/>
    <w:basedOn w:val="15"/>
    <w:qFormat/>
    <w:uiPriority w:val="0"/>
  </w:style>
  <w:style w:type="character" w:styleId="20">
    <w:name w:val="HTML Variable"/>
    <w:basedOn w:val="15"/>
    <w:qFormat/>
    <w:uiPriority w:val="0"/>
  </w:style>
  <w:style w:type="character" w:styleId="21">
    <w:name w:val="Hyperlink"/>
    <w:basedOn w:val="15"/>
    <w:qFormat/>
    <w:uiPriority w:val="99"/>
    <w:rPr>
      <w:color w:val="0000FF"/>
      <w:u w:val="single"/>
    </w:rPr>
  </w:style>
  <w:style w:type="character" w:styleId="22">
    <w:name w:val="HTML Code"/>
    <w:basedOn w:val="15"/>
    <w:qFormat/>
    <w:uiPriority w:val="0"/>
    <w:rPr>
      <w:rFonts w:ascii="serif" w:hAnsi="serif" w:eastAsia="serif" w:cs="serif"/>
      <w:sz w:val="21"/>
      <w:szCs w:val="21"/>
    </w:rPr>
  </w:style>
  <w:style w:type="character" w:styleId="23">
    <w:name w:val="HTML Cite"/>
    <w:basedOn w:val="15"/>
    <w:qFormat/>
    <w:uiPriority w:val="0"/>
  </w:style>
  <w:style w:type="character" w:styleId="24">
    <w:name w:val="HTML Keyboard"/>
    <w:basedOn w:val="15"/>
    <w:qFormat/>
    <w:uiPriority w:val="0"/>
    <w:rPr>
      <w:rFonts w:hint="default" w:ascii="serif" w:hAnsi="serif" w:eastAsia="serif" w:cs="serif"/>
      <w:sz w:val="21"/>
      <w:szCs w:val="21"/>
    </w:rPr>
  </w:style>
  <w:style w:type="character" w:styleId="25">
    <w:name w:val="HTML Sample"/>
    <w:basedOn w:val="15"/>
    <w:qFormat/>
    <w:uiPriority w:val="0"/>
    <w:rPr>
      <w:rFonts w:hint="default" w:ascii="serif" w:hAnsi="serif" w:eastAsia="serif" w:cs="serif"/>
      <w:sz w:val="21"/>
      <w:szCs w:val="21"/>
    </w:rPr>
  </w:style>
  <w:style w:type="paragraph" w:customStyle="1" w:styleId="26">
    <w:name w:val="WPSOffice手动目录 1"/>
    <w:qFormat/>
    <w:uiPriority w:val="0"/>
    <w:rPr>
      <w:rFonts w:ascii="Times New Roman" w:hAnsi="Times New Roman" w:eastAsia="宋体" w:cs="Times New Roman"/>
      <w:lang w:val="en-US" w:eastAsia="zh-CN" w:bidi="ar-SA"/>
    </w:rPr>
  </w:style>
  <w:style w:type="paragraph" w:customStyle="1" w:styleId="2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8">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9">
    <w:name w:val="fontborder"/>
    <w:basedOn w:val="15"/>
    <w:qFormat/>
    <w:uiPriority w:val="0"/>
    <w:rPr>
      <w:bdr w:val="single" w:color="000000" w:sz="6" w:space="0"/>
    </w:rPr>
  </w:style>
  <w:style w:type="character" w:customStyle="1" w:styleId="30">
    <w:name w:val="fontstrikethrough"/>
    <w:basedOn w:val="15"/>
    <w:qFormat/>
    <w:uiPriority w:val="0"/>
    <w:rPr>
      <w:strike/>
    </w:rPr>
  </w:style>
  <w:style w:type="character" w:customStyle="1" w:styleId="31">
    <w:name w:val="del-btn"/>
    <w:basedOn w:val="15"/>
    <w:qFormat/>
    <w:uiPriority w:val="0"/>
  </w:style>
  <w:style w:type="character" w:customStyle="1" w:styleId="32">
    <w:name w:val="del-btn1"/>
    <w:basedOn w:val="15"/>
    <w:qFormat/>
    <w:uiPriority w:val="0"/>
  </w:style>
  <w:style w:type="character" w:customStyle="1" w:styleId="33">
    <w:name w:val="answer-title2"/>
    <w:basedOn w:val="15"/>
    <w:qFormat/>
    <w:uiPriority w:val="0"/>
  </w:style>
  <w:style w:type="character" w:customStyle="1" w:styleId="34">
    <w:name w:val="bg"/>
    <w:basedOn w:val="15"/>
    <w:qFormat/>
    <w:uiPriority w:val="0"/>
    <w:rPr>
      <w:shd w:val="clear" w:color="auto" w:fill="000000"/>
    </w:rPr>
  </w:style>
  <w:style w:type="character" w:customStyle="1" w:styleId="35">
    <w:name w:val="bg1"/>
    <w:basedOn w:val="15"/>
    <w:qFormat/>
    <w:uiPriority w:val="0"/>
    <w:rPr>
      <w:shd w:val="clear" w:color="auto" w:fill="000000"/>
    </w:rPr>
  </w:style>
  <w:style w:type="character" w:customStyle="1" w:styleId="36">
    <w:name w:val="批注框文本 Char"/>
    <w:basedOn w:val="15"/>
    <w:link w:val="7"/>
    <w:qFormat/>
    <w:uiPriority w:val="0"/>
    <w:rPr>
      <w:rFonts w:asciiTheme="minorHAnsi" w:hAnsiTheme="minorHAnsi" w:eastAsiaTheme="minorEastAsia" w:cstheme="minorBidi"/>
      <w:kern w:val="2"/>
      <w:sz w:val="18"/>
      <w:szCs w:val="18"/>
    </w:rPr>
  </w:style>
  <w:style w:type="paragraph" w:customStyle="1" w:styleId="37">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5" w:themeColor="accent1" w:themeShade="BF"/>
      <w:kern w:val="0"/>
      <w:sz w:val="32"/>
      <w:szCs w:val="32"/>
    </w:rPr>
  </w:style>
  <w:style w:type="paragraph" w:styleId="38">
    <w:name w:val="List Paragraph"/>
    <w:basedOn w:val="1"/>
    <w:uiPriority w:val="99"/>
    <w:pPr>
      <w:ind w:firstLine="420" w:firstLineChars="200"/>
    </w:pPr>
  </w:style>
  <w:style w:type="character" w:customStyle="1" w:styleId="39">
    <w:name w:val="标题 2 Char"/>
    <w:basedOn w:val="15"/>
    <w:link w:val="3"/>
    <w:uiPriority w:val="0"/>
    <w:rPr>
      <w:rFonts w:ascii="宋体" w:hAnsi="宋体"/>
      <w:b/>
      <w:sz w:val="36"/>
      <w:szCs w:val="36"/>
    </w:rPr>
  </w:style>
  <w:style w:type="character" w:customStyle="1" w:styleId="40">
    <w:name w:val="标题 1 Char"/>
    <w:basedOn w:val="15"/>
    <w:link w:val="2"/>
    <w:qFormat/>
    <w:uiPriority w:val="9"/>
    <w:rPr>
      <w:rFonts w:asciiTheme="minorHAnsi" w:hAnsiTheme="minorHAnsi" w:eastAsiaTheme="minorEastAsia" w:cstheme="minorBidi"/>
      <w:b/>
      <w:kern w:val="44"/>
      <w:sz w:val="44"/>
      <w:szCs w:val="24"/>
    </w:rPr>
  </w:style>
  <w:style w:type="character" w:customStyle="1" w:styleId="41">
    <w:name w:val="未处理的提及1"/>
    <w:basedOn w:val="1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2049"/>
    <customShpInfo spid="_x0000_s1027"/>
    <customShpInfo spid="_x0000_s1029"/>
    <customShpInfo spid="_x0000_s1030"/>
    <customShpInfo spid="_x0000_s1031"/>
    <customShpInfo spid="_x0000_s1032"/>
    <customShpInfo spid="_x0000_s1028"/>
    <customShpInfo spid="_x0000_s1033"/>
    <customShpInfo spid="_x0000_s1026"/>
    <customShpInfo spid="_x0000_s1034"/>
    <customShpInfo spid="_x0000_s1035"/>
    <customShpInfo spid="_x0000_s1036"/>
    <customShpInfo spid="_x0000_s1037"/>
    <customShpInfo spid="_x0000_s1038"/>
    <customShpInfo spid="_x0000_s1039"/>
    <customShpInfo spid="_x0000_s1040"/>
    <customShpInfo spid="_x0000_s1045"/>
    <customShpInfo spid="_x0000_s1044"/>
    <customShpInfo spid="_x0000_s1043"/>
    <customShpInfo spid="_x0000_s1042"/>
    <customShpInfo spid="_x0000_s104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CF6ED3-0329-4F51-86AF-1534641F232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45</Pages>
  <Words>2835</Words>
  <Characters>16161</Characters>
  <Lines>134</Lines>
  <Paragraphs>37</Paragraphs>
  <TotalTime>86</TotalTime>
  <ScaleCrop>false</ScaleCrop>
  <LinksUpToDate>false</LinksUpToDate>
  <CharactersWithSpaces>18959</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2020-03-02T15:21:00Z</dcterms:created>
  <dc:creator>MYF</dc:creator>
  <cp:lastModifiedBy>Lenovo</cp:lastModifiedBy>
  <cp:lastPrinted>2019-07-18T11:40:00Z</cp:lastPrinted>
  <dcterms:modified xsi:type="dcterms:W3CDTF">2020-03-09T09:22:32Z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